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B476" w14:textId="72606863" w:rsidR="002F2D05" w:rsidRPr="00DB2A9D" w:rsidRDefault="002E65D6" w:rsidP="00473735">
      <w:pPr>
        <w:pStyle w:val="Zkladntext"/>
        <w:spacing w:before="226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CBC7C" wp14:editId="12F3B83A">
            <wp:simplePos x="0" y="0"/>
            <wp:positionH relativeFrom="column">
              <wp:posOffset>-105410</wp:posOffset>
            </wp:positionH>
            <wp:positionV relativeFrom="paragraph">
              <wp:posOffset>-147955</wp:posOffset>
            </wp:positionV>
            <wp:extent cx="2714625" cy="799465"/>
            <wp:effectExtent l="0" t="0" r="9525" b="635"/>
            <wp:wrapNone/>
            <wp:docPr id="214301868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8682" name="Obrázek 1" descr="Obsah obrázku text, Písmo, logo, Grafika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6" r="7167"/>
                    <a:stretch/>
                  </pic:blipFill>
                  <pic:spPr bwMode="auto">
                    <a:xfrm>
                      <a:off x="0" y="0"/>
                      <a:ext cx="27146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D8" w:rsidRPr="00DB2A9D">
        <w:rPr>
          <w:rFonts w:ascii="Times New Roman" w:hAnsi="Times New Roman" w:cs="Times New Roman"/>
          <w:w w:val="105"/>
        </w:rPr>
        <w:t>Praha,</w:t>
      </w:r>
      <w:r w:rsidR="008B38D8" w:rsidRPr="00DB2A9D">
        <w:rPr>
          <w:rFonts w:ascii="Times New Roman" w:hAnsi="Times New Roman" w:cs="Times New Roman"/>
          <w:spacing w:val="-11"/>
          <w:w w:val="105"/>
        </w:rPr>
        <w:t xml:space="preserve"> </w:t>
      </w:r>
      <w:r w:rsidR="00E4595A">
        <w:rPr>
          <w:rFonts w:ascii="Times New Roman" w:hAnsi="Times New Roman" w:cs="Times New Roman"/>
          <w:spacing w:val="-11"/>
          <w:w w:val="105"/>
        </w:rPr>
        <w:t xml:space="preserve">24. </w:t>
      </w:r>
      <w:r w:rsidR="00246598">
        <w:rPr>
          <w:rFonts w:ascii="Times New Roman" w:hAnsi="Times New Roman" w:cs="Times New Roman"/>
          <w:w w:val="105"/>
        </w:rPr>
        <w:t xml:space="preserve">dubna </w:t>
      </w:r>
      <w:r w:rsidR="008B38D8" w:rsidRPr="00DB2A9D">
        <w:rPr>
          <w:rFonts w:ascii="Times New Roman" w:hAnsi="Times New Roman" w:cs="Times New Roman"/>
          <w:spacing w:val="-4"/>
          <w:w w:val="105"/>
        </w:rPr>
        <w:t>202</w:t>
      </w:r>
      <w:r w:rsidR="00246598">
        <w:rPr>
          <w:rFonts w:ascii="Times New Roman" w:hAnsi="Times New Roman" w:cs="Times New Roman"/>
          <w:spacing w:val="-4"/>
          <w:w w:val="105"/>
        </w:rPr>
        <w:t>5</w:t>
      </w:r>
    </w:p>
    <w:p w14:paraId="7EB7D134" w14:textId="05C56A7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6CE1BCE3" w14:textId="488486A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2B183A31" w14:textId="71EB11CE" w:rsidR="002F2D05" w:rsidRPr="00DB2A9D" w:rsidRDefault="002F2D05" w:rsidP="00473735">
      <w:pPr>
        <w:pStyle w:val="Zkladntext"/>
        <w:spacing w:before="9"/>
        <w:rPr>
          <w:rFonts w:ascii="Times New Roman" w:hAnsi="Times New Roman" w:cs="Times New Roman"/>
          <w:sz w:val="18"/>
          <w:szCs w:val="18"/>
        </w:rPr>
      </w:pPr>
    </w:p>
    <w:p w14:paraId="5D720AE0" w14:textId="6D7CADF5" w:rsidR="002F2D05" w:rsidRDefault="002F2D05" w:rsidP="00473735">
      <w:pPr>
        <w:pStyle w:val="Zkladntext"/>
        <w:rPr>
          <w:rFonts w:ascii="Times New Roman" w:hAnsi="Times New Roman" w:cs="Times New Roman"/>
          <w:i/>
        </w:rPr>
      </w:pPr>
    </w:p>
    <w:p w14:paraId="727757A3" w14:textId="6BD55BC2" w:rsidR="00D915CB" w:rsidRPr="006B0E1D" w:rsidRDefault="00D915CB" w:rsidP="00473735">
      <w:pPr>
        <w:pStyle w:val="Zkladntex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B0E1D">
        <w:rPr>
          <w:rFonts w:ascii="Times New Roman" w:hAnsi="Times New Roman" w:cs="Times New Roman"/>
          <w:b/>
          <w:bCs/>
          <w:iCs/>
          <w:sz w:val="40"/>
          <w:szCs w:val="40"/>
        </w:rPr>
        <w:t>Tisková zpráva</w:t>
      </w:r>
    </w:p>
    <w:p w14:paraId="732E0774" w14:textId="47E0E626" w:rsidR="00D915CB" w:rsidRPr="006B0E1D" w:rsidRDefault="00D915CB" w:rsidP="00473735">
      <w:pPr>
        <w:pStyle w:val="Zkladntext"/>
        <w:rPr>
          <w:rFonts w:ascii="Times New Roman" w:hAnsi="Times New Roman" w:cs="Times New Roman"/>
          <w:i/>
        </w:rPr>
      </w:pPr>
    </w:p>
    <w:p w14:paraId="7E91BAFA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6B0E1D">
        <w:rPr>
          <w:rFonts w:ascii="Times New Roman" w:hAnsi="Times New Roman" w:cs="Times New Roman"/>
          <w:b/>
          <w:sz w:val="28"/>
          <w:szCs w:val="28"/>
        </w:rPr>
        <w:t>Litoměřice mají dobrou dostupnost zdravotní péče, Ústecký kraj zase rozvinutou dopravní infrastrukturu a rychlý internet. Ukázala to data z Indexu prosperity regionů</w:t>
      </w:r>
    </w:p>
    <w:p w14:paraId="37BF0128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  <w:b/>
        </w:rPr>
      </w:pPr>
      <w:r w:rsidRPr="006B0E1D">
        <w:rPr>
          <w:rFonts w:ascii="Times New Roman" w:hAnsi="Times New Roman" w:cs="Times New Roman"/>
          <w:b/>
        </w:rPr>
        <w:t>Index prosperity regionů porovnává 206 českých mikroregionů (205 obcí s rozšířenou působností plus Praha) a hodnotí v nich 37 ukazatelů kvality života, například demografii, občanskou vybavenost, dostupnost vzdělání nebo ekonomiku. Litoměřice se sice umístily až na 162. místě z 206, ale vynikají dobrou dostupností zdravotní péče (24. nejlepší mezi všemi mikroregiony) - na 100 000 obyvatel tu připadá 61 ordinací praktického lékaře, 48 stomatologických ordinací a 34 lékáren. Obec také nabízí dobré zázemí pro kulturní vyžití, hlavně co do počtu galerií a muzeí (21. místo z 206 mikroregionů) a divadel (26. místo). Má i poměrně slušný podíl vysokoškoláků na celkovém obyvatelstvu (11 %).</w:t>
      </w:r>
    </w:p>
    <w:p w14:paraId="359C2A95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</w:rPr>
        <w:t xml:space="preserve">Ústecký kraj disponuje rozvinutou dopravní infrastrukturou, kterou časem ještě posílí výstavba vysokorychlostní železnice. V porovnání s dalšími kraji má šestý nejvyšší počet zastávek veřejné dopravy. Je zde i dobře dostupný vysokorychlostní internet (7. nejvyšší počet aktivních optických přípojek), což v kombinaci s univerzitním zázemím v Ústí nad Labem může do budoucna pomoci udržet v regionu talenty a díky možnosti pracovat z domova sem přilákat nové. Již nyní zde žije relativně mladé obyvatelstvo (4. nejnižší věkový průměr mezi kraji) a je zde také druhý nejvyšší počet pediatrů. </w:t>
      </w:r>
    </w:p>
    <w:p w14:paraId="431A61CE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  <w:b/>
        </w:rPr>
        <w:t>Nejvíce exekucí a hodně zameškaných hodin</w:t>
      </w:r>
      <w:r w:rsidRPr="006B0E1D">
        <w:rPr>
          <w:rFonts w:ascii="Times New Roman" w:hAnsi="Times New Roman" w:cs="Times New Roman"/>
          <w:b/>
        </w:rPr>
        <w:br/>
      </w:r>
      <w:r w:rsidRPr="006B0E1D">
        <w:rPr>
          <w:rFonts w:ascii="Times New Roman" w:hAnsi="Times New Roman" w:cs="Times New Roman"/>
        </w:rPr>
        <w:t>Hůře si kraj vede v ekonomických ukazatelích, prostředí pro život a možnostech trávit volný čas. Žije zde nejvíce lidí s exekucí, například v Mostě ji má každý 7. obyvatel a průměrná vymáhaná částka na osobu přesahuje půl milionu korun. V Ústeckém kraji je také nejnižší naděje dožití z celé ČR. V Litoměřicích je nedostatek sportovišť, na 1 000 obyvatel připadají pouze 2. 1 % obyvatel nad 15 let nemá dokončený 1. stupeň základní školy a zdejší žáci mají poměrně hodně zameškaných hodin ve škole (179. místo z 206 mikroregionů).</w:t>
      </w:r>
    </w:p>
    <w:p w14:paraId="66270735" w14:textId="6A4EB4DA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  <w:i/>
          <w:iCs/>
        </w:rPr>
        <w:t xml:space="preserve">„V Litoměřicích si vážíme aktivních občanů, kteří mají chuť město posouvat dál. Skvělým příkladem může být skupina nadšenců z </w:t>
      </w:r>
      <w:proofErr w:type="spellStart"/>
      <w:r w:rsidRPr="006B0E1D">
        <w:rPr>
          <w:rFonts w:ascii="Times New Roman" w:hAnsi="Times New Roman" w:cs="Times New Roman"/>
          <w:i/>
          <w:iCs/>
        </w:rPr>
        <w:t>discgolfového</w:t>
      </w:r>
      <w:proofErr w:type="spellEnd"/>
      <w:r w:rsidRPr="006B0E1D">
        <w:rPr>
          <w:rFonts w:ascii="Times New Roman" w:hAnsi="Times New Roman" w:cs="Times New Roman"/>
          <w:i/>
          <w:iCs/>
        </w:rPr>
        <w:t xml:space="preserve"> klubu, kteří přišli s nápadem na vybudování hřiště v rámci participativního rozpočtu. Díky jejich aktivitě dnes máme v Litoměřicích nové sportoviště, které </w:t>
      </w:r>
      <w:proofErr w:type="gramStart"/>
      <w:r w:rsidRPr="006B0E1D">
        <w:rPr>
          <w:rFonts w:ascii="Times New Roman" w:hAnsi="Times New Roman" w:cs="Times New Roman"/>
          <w:i/>
          <w:iCs/>
        </w:rPr>
        <w:t>slouží</w:t>
      </w:r>
      <w:proofErr w:type="gramEnd"/>
      <w:r w:rsidRPr="006B0E1D">
        <w:rPr>
          <w:rFonts w:ascii="Times New Roman" w:hAnsi="Times New Roman" w:cs="Times New Roman"/>
          <w:i/>
          <w:iCs/>
        </w:rPr>
        <w:t xml:space="preserve"> široké</w:t>
      </w:r>
      <w:r>
        <w:rPr>
          <w:rFonts w:ascii="Times New Roman" w:hAnsi="Times New Roman" w:cs="Times New Roman"/>
          <w:i/>
          <w:iCs/>
        </w:rPr>
        <w:t xml:space="preserve"> </w:t>
      </w:r>
      <w:r w:rsidRPr="006B0E1D">
        <w:rPr>
          <w:rFonts w:ascii="Times New Roman" w:hAnsi="Times New Roman" w:cs="Times New Roman"/>
          <w:i/>
          <w:iCs/>
        </w:rPr>
        <w:t>veřejnosti.</w:t>
      </w:r>
      <w:r>
        <w:rPr>
          <w:rFonts w:ascii="Times New Roman" w:hAnsi="Times New Roman" w:cs="Times New Roman"/>
          <w:i/>
          <w:iCs/>
        </w:rPr>
        <w:t xml:space="preserve"> </w:t>
      </w:r>
      <w:r w:rsidRPr="006B0E1D">
        <w:rPr>
          <w:rFonts w:ascii="Times New Roman" w:hAnsi="Times New Roman" w:cs="Times New Roman"/>
          <w:i/>
          <w:iCs/>
        </w:rPr>
        <w:t xml:space="preserve">Zároveň jsme hrdí na velké množství šikovných dětí a mladých lidí, kteří nás skvěle reprezentují napříč nejrůznějšími obory – od sportu, hudby a kultury až po vzdělávání či technické soutěže. Jejich úspěchy, často i na mezinárodní úrovni, jsou důkazem, že v našem městě vyrůstá silná a schopná generace,“ </w:t>
      </w:r>
      <w:r w:rsidRPr="006B0E1D">
        <w:rPr>
          <w:rFonts w:ascii="Times New Roman" w:hAnsi="Times New Roman" w:cs="Times New Roman"/>
        </w:rPr>
        <w:t>říká Radek Löwy, starosta města Litoměřice.</w:t>
      </w:r>
    </w:p>
    <w:p w14:paraId="024C6143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  <w:i/>
        </w:rPr>
        <w:t>„Cílem Indexu prosperity regionů je mapovat kvalitu života v jednotlivých krajích a obcích s rozšířenou působností a ukazovat pozitivní příklady z praxe, které vedou k posilování regionů. Kromě tvrdých dat ale sledujeme i aktivity, které nejsou měřitelné čísly, a přesto mají na rozvoj regionů neméně důležitý dopad,“</w:t>
      </w:r>
      <w:r w:rsidRPr="006B0E1D">
        <w:rPr>
          <w:rFonts w:ascii="Times New Roman" w:hAnsi="Times New Roman" w:cs="Times New Roman"/>
        </w:rPr>
        <w:t xml:space="preserve"> vysvětluje Andrea Studihradová z České spořitelny, která společně s Evropou v datech za indexem stojí. V posledních letech vznikly v Ústeckém kraji desítky projektů, které zlepšily život v konkrétní obci.</w:t>
      </w:r>
    </w:p>
    <w:p w14:paraId="473BF51F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  <w:i/>
        </w:rPr>
        <w:t xml:space="preserve">„Například v Teplicích otevřela na podzim parta aktivních lidí re-use centrum </w:t>
      </w:r>
      <w:proofErr w:type="spellStart"/>
      <w:r w:rsidRPr="006B0E1D">
        <w:rPr>
          <w:rFonts w:ascii="Times New Roman" w:hAnsi="Times New Roman" w:cs="Times New Roman"/>
          <w:i/>
        </w:rPr>
        <w:t>OtočTo</w:t>
      </w:r>
      <w:proofErr w:type="spellEnd"/>
      <w:r w:rsidRPr="006B0E1D">
        <w:rPr>
          <w:rFonts w:ascii="Times New Roman" w:hAnsi="Times New Roman" w:cs="Times New Roman"/>
          <w:i/>
        </w:rPr>
        <w:t>, a postupně se rýsuje i Kulturní prostor Zahálka. Ve Štětí vytvořili místní komunitní centrum v bývalé městské tržnici a v Lounech pár nadšenců provozuje mobilní komunitní saunu. Jde o projekty podpořené programem Dokážeme víc, který podporuje lidi, jež chtějí zvelebit své okolí. Mohou na to získat až 100 000 Kč,“</w:t>
      </w:r>
      <w:r w:rsidRPr="006B0E1D">
        <w:rPr>
          <w:rFonts w:ascii="Times New Roman" w:hAnsi="Times New Roman" w:cs="Times New Roman"/>
        </w:rPr>
        <w:t xml:space="preserve"> dodává Andrea Studihradová.</w:t>
      </w:r>
    </w:p>
    <w:p w14:paraId="62377F6D" w14:textId="69A74BA9" w:rsidR="006B0E1D" w:rsidRPr="006B0E1D" w:rsidRDefault="00B63708" w:rsidP="006B0E1D">
      <w:pPr>
        <w:spacing w:before="240" w:after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br/>
      </w:r>
      <w:r w:rsidR="006B0E1D" w:rsidRPr="006B0E1D">
        <w:rPr>
          <w:rFonts w:ascii="Times New Roman" w:hAnsi="Times New Roman" w:cs="Times New Roman"/>
          <w:b/>
        </w:rPr>
        <w:lastRenderedPageBreak/>
        <w:t>Všichni do měst jít nemůžou</w:t>
      </w:r>
      <w:r w:rsidR="006B0E1D" w:rsidRPr="006B0E1D">
        <w:rPr>
          <w:rFonts w:ascii="Times New Roman" w:hAnsi="Times New Roman" w:cs="Times New Roman"/>
          <w:b/>
        </w:rPr>
        <w:br/>
      </w:r>
      <w:r w:rsidR="006B0E1D" w:rsidRPr="006B0E1D">
        <w:rPr>
          <w:rFonts w:ascii="Times New Roman" w:hAnsi="Times New Roman" w:cs="Times New Roman"/>
        </w:rPr>
        <w:t xml:space="preserve">Zažádat o grant Dokážeme víc realizovaný Českou spořitelnou ve spolupráci s Nadací Via může kdokoliv a pozitivní je, že se v regionech </w:t>
      </w:r>
      <w:proofErr w:type="gramStart"/>
      <w:r w:rsidR="006B0E1D" w:rsidRPr="006B0E1D">
        <w:rPr>
          <w:rFonts w:ascii="Times New Roman" w:hAnsi="Times New Roman" w:cs="Times New Roman"/>
        </w:rPr>
        <w:t>snaží</w:t>
      </w:r>
      <w:proofErr w:type="gramEnd"/>
      <w:r w:rsidR="006B0E1D" w:rsidRPr="006B0E1D">
        <w:rPr>
          <w:rFonts w:ascii="Times New Roman" w:hAnsi="Times New Roman" w:cs="Times New Roman"/>
        </w:rPr>
        <w:t xml:space="preserve"> o změnu k lepšímu čím dál více lidí. </w:t>
      </w:r>
      <w:r w:rsidR="006B0E1D" w:rsidRPr="006B0E1D">
        <w:rPr>
          <w:rFonts w:ascii="Times New Roman" w:hAnsi="Times New Roman" w:cs="Times New Roman"/>
          <w:i/>
        </w:rPr>
        <w:t>„Vznikají kulturní a vzdělávací projekty, sociální podniky, komunitní centra i malé lokální podniky. Pokud se v regionech zaměříme na odstranění bariér právě pro malé a střední podniky, změnu vzdělávání a podporu inovací, můžeme zvrátit negativní vývoj posledních desetiletí,“</w:t>
      </w:r>
      <w:r w:rsidR="006B0E1D" w:rsidRPr="006B0E1D">
        <w:rPr>
          <w:rFonts w:ascii="Times New Roman" w:hAnsi="Times New Roman" w:cs="Times New Roman"/>
        </w:rPr>
        <w:t xml:space="preserve"> komentuje stávající trend Jan Školník, podnikatel a filantrop z Broumovska. Podle něj není řešením problémů venkova to, že se všichni odstěhují do měst. </w:t>
      </w:r>
      <w:r w:rsidR="006B0E1D" w:rsidRPr="006B0E1D">
        <w:rPr>
          <w:rFonts w:ascii="Times New Roman" w:hAnsi="Times New Roman" w:cs="Times New Roman"/>
          <w:i/>
        </w:rPr>
        <w:t>„Budou ta města potom k žití? Podle mě má smysl spíše posílit kvalitu života v menších obcích a na venkově a doplnit to kvalitní infrastrukturou.“</w:t>
      </w:r>
    </w:p>
    <w:p w14:paraId="06206F4A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  <w:b/>
        </w:rPr>
        <w:t>Silnější budoucnost na náměstí</w:t>
      </w:r>
      <w:r w:rsidRPr="006B0E1D">
        <w:rPr>
          <w:rFonts w:ascii="Times New Roman" w:hAnsi="Times New Roman" w:cs="Times New Roman"/>
          <w:b/>
        </w:rPr>
        <w:br/>
      </w:r>
      <w:r w:rsidRPr="006B0E1D">
        <w:rPr>
          <w:rFonts w:ascii="Times New Roman" w:hAnsi="Times New Roman" w:cs="Times New Roman"/>
        </w:rPr>
        <w:t xml:space="preserve">V týdnu od 2. do 6. května se na litoměřickém náměstí představí roadshow Silnější budoucnost, která ukáže, co všechno Češi dokázali na poli technologií, mimo jiné i formou interaktivní výstavy. Na náměstí tak vyrostou dvě obří včelí plástve, jedna coby prostor pro výstavu, druhá pro besedy a setkávání. </w:t>
      </w:r>
    </w:p>
    <w:p w14:paraId="255A1292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</w:rPr>
        <w:t xml:space="preserve">6. května tu také od 18 hodin proběhne debata věnovaná regionům a zapojování místních do proměn veřejných prostor se zajímavými hosty: architektem a propagátorem architektonické kultury </w:t>
      </w:r>
      <w:r w:rsidRPr="006B0E1D">
        <w:rPr>
          <w:rFonts w:ascii="Times New Roman" w:hAnsi="Times New Roman" w:cs="Times New Roman"/>
          <w:b/>
        </w:rPr>
        <w:t xml:space="preserve">Adamem </w:t>
      </w:r>
      <w:proofErr w:type="spellStart"/>
      <w:r w:rsidRPr="006B0E1D">
        <w:rPr>
          <w:rFonts w:ascii="Times New Roman" w:hAnsi="Times New Roman" w:cs="Times New Roman"/>
          <w:b/>
        </w:rPr>
        <w:t>Gebrianem</w:t>
      </w:r>
      <w:proofErr w:type="spellEnd"/>
      <w:r w:rsidRPr="006B0E1D">
        <w:rPr>
          <w:rFonts w:ascii="Times New Roman" w:hAnsi="Times New Roman" w:cs="Times New Roman"/>
        </w:rPr>
        <w:t xml:space="preserve"> a zahradní architektkou a autorkou uměleckého projektu Efemér </w:t>
      </w:r>
      <w:r w:rsidRPr="006B0E1D">
        <w:rPr>
          <w:rFonts w:ascii="Times New Roman" w:hAnsi="Times New Roman" w:cs="Times New Roman"/>
          <w:b/>
        </w:rPr>
        <w:t>Lucií Králíčkovou</w:t>
      </w:r>
      <w:r w:rsidRPr="006B0E1D">
        <w:rPr>
          <w:rFonts w:ascii="Times New Roman" w:hAnsi="Times New Roman" w:cs="Times New Roman"/>
        </w:rPr>
        <w:t xml:space="preserve">. </w:t>
      </w:r>
    </w:p>
    <w:p w14:paraId="0B8736B8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  <w:i/>
        </w:rPr>
        <w:t>„Silnější budoucnost neovlivňují jen technologie, byť je jejich význam obrovský, ale také lidé. Hlavně na lidech záleží, jestli bude konkrétní město nebo vesnice dobré místo k životu. Snažíme se je proto podporovat a motivovat, například grantovým programem Dokážeme víc. Aby se nebáli vystoupit ze své komfortní zóny a pustili se do něčeho, co jim dává smysl a zpříjemní život v daném místě,“</w:t>
      </w:r>
      <w:r w:rsidRPr="006B0E1D">
        <w:rPr>
          <w:rFonts w:ascii="Times New Roman" w:hAnsi="Times New Roman" w:cs="Times New Roman"/>
        </w:rPr>
        <w:t xml:space="preserve"> uzavírá Andrea Studihradová.</w:t>
      </w:r>
    </w:p>
    <w:p w14:paraId="5D4AF5DA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</w:rPr>
        <w:t>Roadshow Silnější budoucnost pořádá Česká spořitelna na oslavu svých 200. narozenin.</w:t>
      </w:r>
    </w:p>
    <w:p w14:paraId="1FC69133" w14:textId="77777777" w:rsidR="006B0E1D" w:rsidRPr="006B0E1D" w:rsidRDefault="006B0E1D" w:rsidP="006B0E1D">
      <w:pPr>
        <w:spacing w:before="240" w:after="240"/>
        <w:rPr>
          <w:rFonts w:ascii="Times New Roman" w:hAnsi="Times New Roman" w:cs="Times New Roman"/>
        </w:rPr>
      </w:pPr>
      <w:r w:rsidRPr="006B0E1D">
        <w:rPr>
          <w:rFonts w:ascii="Times New Roman" w:hAnsi="Times New Roman" w:cs="Times New Roman"/>
        </w:rPr>
        <w:t>Detailní program a další informace najdete na</w:t>
      </w:r>
      <w:hyperlink r:id="rId8">
        <w:r w:rsidRPr="006B0E1D">
          <w:rPr>
            <w:rFonts w:ascii="Times New Roman" w:hAnsi="Times New Roman" w:cs="Times New Roman"/>
          </w:rPr>
          <w:t xml:space="preserve"> </w:t>
        </w:r>
      </w:hyperlink>
      <w:hyperlink r:id="rId9">
        <w:r w:rsidRPr="006B0E1D">
          <w:rPr>
            <w:rFonts w:ascii="Times New Roman" w:hAnsi="Times New Roman" w:cs="Times New Roman"/>
            <w:color w:val="1155CC"/>
            <w:u w:val="single"/>
          </w:rPr>
          <w:t>www.silnejsibudoucnost.cz</w:t>
        </w:r>
      </w:hyperlink>
      <w:r w:rsidRPr="006B0E1D">
        <w:rPr>
          <w:rFonts w:ascii="Times New Roman" w:hAnsi="Times New Roman" w:cs="Times New Roman"/>
        </w:rPr>
        <w:t>, data z Indexu prosperity regionů si můžete vyhledat na</w:t>
      </w:r>
      <w:hyperlink r:id="rId10">
        <w:r w:rsidRPr="006B0E1D">
          <w:rPr>
            <w:rFonts w:ascii="Times New Roman" w:hAnsi="Times New Roman" w:cs="Times New Roman"/>
          </w:rPr>
          <w:t xml:space="preserve"> </w:t>
        </w:r>
      </w:hyperlink>
      <w:hyperlink r:id="rId11">
        <w:r w:rsidRPr="006B0E1D">
          <w:rPr>
            <w:rFonts w:ascii="Times New Roman" w:hAnsi="Times New Roman" w:cs="Times New Roman"/>
            <w:color w:val="1155CC"/>
            <w:u w:val="single"/>
          </w:rPr>
          <w:t>www.silnejsiregiony.cz</w:t>
        </w:r>
      </w:hyperlink>
      <w:r w:rsidRPr="006B0E1D">
        <w:rPr>
          <w:rFonts w:ascii="Times New Roman" w:hAnsi="Times New Roman" w:cs="Times New Roman"/>
        </w:rPr>
        <w:t>.</w:t>
      </w:r>
    </w:p>
    <w:p w14:paraId="02DB9055" w14:textId="77777777" w:rsidR="0055536E" w:rsidRDefault="0055536E" w:rsidP="00874AD8">
      <w:pPr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</w:pPr>
    </w:p>
    <w:p w14:paraId="1F577E27" w14:textId="77777777" w:rsidR="006B0E1D" w:rsidRDefault="006B0E1D" w:rsidP="00874AD8">
      <w:pPr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</w:pPr>
    </w:p>
    <w:p w14:paraId="470602B3" w14:textId="2BD76F74" w:rsidR="00874AD8" w:rsidRPr="00436CE9" w:rsidRDefault="00874AD8" w:rsidP="00874AD8">
      <w:pPr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další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informace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prosím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kontaktujte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centrum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Finanční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skupiny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České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spořitelny:</w:t>
      </w:r>
    </w:p>
    <w:p w14:paraId="4CA266CA" w14:textId="77777777" w:rsidR="00874AD8" w:rsidRPr="00436CE9" w:rsidRDefault="00874AD8" w:rsidP="00874AD8">
      <w:pPr>
        <w:pStyle w:val="Zkladntext"/>
        <w:spacing w:before="3"/>
        <w:rPr>
          <w:rFonts w:ascii="Times New Roman" w:hAnsi="Times New Roman" w:cs="Times New Roman"/>
          <w:i/>
        </w:rPr>
      </w:pPr>
    </w:p>
    <w:p w14:paraId="0D4E4474" w14:textId="77777777" w:rsidR="00874AD8" w:rsidRPr="00436CE9" w:rsidRDefault="00874AD8" w:rsidP="00874AD8">
      <w:pPr>
        <w:rPr>
          <w:rFonts w:ascii="Times New Roman" w:hAnsi="Times New Roman" w:cs="Times New Roman"/>
          <w:b/>
          <w:sz w:val="20"/>
          <w:szCs w:val="20"/>
        </w:rPr>
      </w:pP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Filip</w:t>
      </w:r>
      <w:r w:rsidRPr="00436CE9">
        <w:rPr>
          <w:rFonts w:ascii="Times New Roman" w:hAnsi="Times New Roman" w:cs="Times New Roman"/>
          <w:b/>
          <w:color w:val="303030"/>
          <w:spacing w:val="-9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Hrubý</w:t>
      </w:r>
    </w:p>
    <w:p w14:paraId="0EA4CD4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Tiskový</w:t>
      </w:r>
      <w:r w:rsidRPr="00436CE9">
        <w:rPr>
          <w:rFonts w:ascii="Times New Roman" w:hAnsi="Times New Roman" w:cs="Times New Roman"/>
          <w:i/>
          <w:color w:val="303030"/>
          <w:spacing w:val="-4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mluvčí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ČS</w:t>
      </w:r>
    </w:p>
    <w:p w14:paraId="63645DB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Tel.: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+420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775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011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550</w:t>
      </w:r>
    </w:p>
    <w:p w14:paraId="1C6CC493" w14:textId="1AD6B8B0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E-mail: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hyperlink r:id="rId12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fhrub</w:t>
        </w:r>
      </w:hyperlink>
      <w:hyperlink r:id="rId13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y@csas.cz</w:t>
        </w:r>
      </w:hyperlink>
    </w:p>
    <w:p w14:paraId="3A77E9EA" w14:textId="255595C5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</w:p>
    <w:p w14:paraId="5F5F5F49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</w:p>
    <w:p w14:paraId="4D71BFF8" w14:textId="3217D264" w:rsidR="00DB2A9D" w:rsidRDefault="00DB2A9D">
      <w:pPr>
        <w:rPr>
          <w:rFonts w:ascii="Times New Roman" w:hAnsi="Times New Roman" w:cs="Times New Roman"/>
          <w:color w:val="303030"/>
          <w:spacing w:val="-2"/>
          <w:w w:val="105"/>
          <w:sz w:val="20"/>
          <w:szCs w:val="20"/>
        </w:rPr>
      </w:pPr>
    </w:p>
    <w:p w14:paraId="5D88A3EF" w14:textId="6AAE7789" w:rsidR="005A3334" w:rsidRPr="00DB2A9D" w:rsidRDefault="005A3334" w:rsidP="00473735">
      <w:pPr>
        <w:rPr>
          <w:rFonts w:ascii="Times New Roman" w:hAnsi="Times New Roman" w:cs="Times New Roman"/>
          <w:sz w:val="9"/>
        </w:rPr>
        <w:sectPr w:rsidR="005A3334" w:rsidRPr="00DB2A9D" w:rsidSect="0009199F">
          <w:type w:val="continuous"/>
          <w:pgSz w:w="11910" w:h="16840"/>
          <w:pgMar w:top="1418" w:right="1021" w:bottom="1276" w:left="1021" w:header="709" w:footer="709" w:gutter="0"/>
          <w:cols w:space="708"/>
        </w:sectPr>
      </w:pPr>
    </w:p>
    <w:p w14:paraId="1888FB96" w14:textId="2EFF7FCD" w:rsidR="00D915CB" w:rsidRPr="00874AD8" w:rsidRDefault="00CA3315" w:rsidP="00874AD8">
      <w:pPr>
        <w:rPr>
          <w:rFonts w:ascii="Times New Roman" w:hAnsi="Times New Roman" w:cs="Times New Roman"/>
          <w:b/>
          <w:bCs/>
          <w:color w:val="303030"/>
          <w:sz w:val="20"/>
        </w:rPr>
      </w:pPr>
      <w:r w:rsidRPr="00874AD8">
        <w:rPr>
          <w:rFonts w:ascii="Times New Roman" w:hAnsi="Times New Roman" w:cs="Times New Roman"/>
          <w:b/>
          <w:bCs/>
          <w:color w:val="303030"/>
          <w:sz w:val="18"/>
          <w:szCs w:val="18"/>
        </w:rPr>
        <w:t>Profil České</w:t>
      </w:r>
      <w:r w:rsidRPr="00874AD8">
        <w:rPr>
          <w:rFonts w:ascii="Times New Roman" w:hAnsi="Times New Roman" w:cs="Times New Roman"/>
          <w:b/>
          <w:bCs/>
          <w:color w:val="303030"/>
          <w:spacing w:val="1"/>
          <w:sz w:val="18"/>
          <w:szCs w:val="18"/>
        </w:rPr>
        <w:t xml:space="preserve"> </w:t>
      </w:r>
      <w:r w:rsidRPr="00874AD8">
        <w:rPr>
          <w:rFonts w:ascii="Times New Roman" w:hAnsi="Times New Roman" w:cs="Times New Roman"/>
          <w:b/>
          <w:bCs/>
          <w:color w:val="303030"/>
          <w:spacing w:val="-2"/>
          <w:sz w:val="18"/>
          <w:szCs w:val="18"/>
        </w:rPr>
        <w:t>spořitelny</w:t>
      </w:r>
    </w:p>
    <w:p w14:paraId="5C99E433" w14:textId="77777777" w:rsidR="00D915CB" w:rsidRDefault="00D915CB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p w14:paraId="1EBFBD30" w14:textId="77777777" w:rsidR="001D2274" w:rsidRPr="00D915CB" w:rsidRDefault="001D2274" w:rsidP="001D2274">
      <w:pPr>
        <w:pStyle w:val="Nadpis1"/>
        <w:ind w:lef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nejstarší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. Od roku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1825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 je naší misí podporovat finanční zdraví a prosperitu klientů, komunit a celé společnosti.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republice s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více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než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4,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6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milion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klientů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zároveň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16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nejdostupnější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1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– disponujeme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sítí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poboček 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bankomatů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digitální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bankovnictví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George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nejvyužívanější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aplikací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českém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trhu. Máme relevantní nabídku pro všechny typy zákazníků, ať jde o individuální klientelu, drobné podnikatele, malé a střední firmy </w:t>
      </w:r>
      <w:r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>nebo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 velké korporace a klienty z veřejného sektoru.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Od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roku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2000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součástí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evropské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skupiny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Erste.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postavení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nám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dovoluje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udávat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trend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technologických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digitálních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inovacích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zavádění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nových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služeb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produktů.</w:t>
      </w:r>
    </w:p>
    <w:p w14:paraId="3CC9A657" w14:textId="77777777" w:rsidR="001D2274" w:rsidRPr="00D915CB" w:rsidRDefault="001D2274" w:rsidP="001D2274">
      <w:pPr>
        <w:pStyle w:val="Zkladntext"/>
        <w:spacing w:before="7"/>
        <w:rPr>
          <w:rFonts w:ascii="Times New Roman" w:hAnsi="Times New Roman" w:cs="Times New Roman"/>
          <w:sz w:val="18"/>
          <w:szCs w:val="18"/>
        </w:rPr>
      </w:pPr>
    </w:p>
    <w:p w14:paraId="1EFF3186" w14:textId="77777777" w:rsidR="001D2274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hAnsi="Times New Roman" w:cs="Times New Roman"/>
          <w:sz w:val="18"/>
          <w:szCs w:val="18"/>
        </w:rPr>
        <w:t>J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sme první bankou, která se stará o </w:t>
      </w:r>
      <w:r w:rsidRPr="6B8C25DB">
        <w:rPr>
          <w:rFonts w:ascii="Times New Roman" w:eastAsia="Times New Roman" w:hAnsi="Times New Roman" w:cs="Times New Roman"/>
          <w:b/>
          <w:bCs/>
          <w:sz w:val="18"/>
          <w:szCs w:val="18"/>
        </w:rPr>
        <w:t>finanční zdraví klientů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>. Veřejně jsme se zavázali:</w:t>
      </w:r>
    </w:p>
    <w:p w14:paraId="3F1B93F5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Pomáhat 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finanční rezervu na nenadálé výdaje</w:t>
      </w:r>
    </w:p>
    <w:p w14:paraId="2007F346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Zpřístupn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kvalitní finanční vzdělávání všem dětem v České republice</w:t>
      </w:r>
    </w:p>
    <w:p w14:paraId="6C0C9307" w14:textId="77777777" w:rsidR="001D2274" w:rsidRDefault="001D2274" w:rsidP="001D2274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moci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 dlouhodobou finanční rezervu</w:t>
      </w:r>
    </w:p>
    <w:p w14:paraId="39716223" w14:textId="77777777" w:rsidR="001D2274" w:rsidRDefault="001D2274" w:rsidP="001D2274">
      <w:pPr>
        <w:pStyle w:val="Odstavecseseznamem"/>
        <w:numPr>
          <w:ilvl w:val="1"/>
          <w:numId w:val="2"/>
        </w:num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Financovat transformaci českých firem směrem k jejich větší konkurenceschopnosti na globálních trzích </w:t>
      </w:r>
    </w:p>
    <w:p w14:paraId="4DCEB673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Zaujímáme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vedoucí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tržní</w:t>
      </w:r>
      <w:r w:rsidRPr="6B8C25DB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pozici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oblasti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retailových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firemních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úvěrů,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hypoték</w:t>
      </w:r>
      <w:r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 celkových vkladech. Našich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služeb využívá každá druhá municipalita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v České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republice.</w:t>
      </w:r>
    </w:p>
    <w:p w14:paraId="0E3A3C89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Naše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internetové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a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mobilní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bankovnictví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George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má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takřka 3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miliony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uživatelů a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je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nejvyužívanější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digitální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 xml:space="preserve">službou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 trhu.</w:t>
      </w:r>
    </w:p>
    <w:p w14:paraId="6B3116AE" w14:textId="77777777" w:rsidR="001D2274" w:rsidRPr="000D6BEA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color w:val="303030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Nadace</w:t>
      </w:r>
      <w:r w:rsidRPr="000D6BEA">
        <w:rPr>
          <w:rFonts w:ascii="Times New Roman" w:hAnsi="Times New Roman" w:cs="Times New Roman"/>
          <w:color w:val="303030"/>
          <w:spacing w:val="-1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České</w:t>
      </w:r>
      <w:r w:rsidRPr="000D6BEA">
        <w:rPr>
          <w:rFonts w:ascii="Times New Roman" w:hAnsi="Times New Roman" w:cs="Times New Roman"/>
          <w:color w:val="303030"/>
          <w:spacing w:val="-1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spořitelny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největší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nadací</w:t>
      </w:r>
      <w:r w:rsidRPr="1582C5CC">
        <w:rPr>
          <w:rFonts w:ascii="Times New Roman" w:hAnsi="Times New Roman" w:cs="Times New Roman"/>
          <w:b/>
          <w:bCs/>
          <w:color w:val="303030"/>
          <w:spacing w:val="-9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ČR.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Zaměřuje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především na </w:t>
      </w:r>
      <w:r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podporu systémových změn ve </w:t>
      </w:r>
      <w:r>
        <w:rPr>
          <w:rFonts w:ascii="Times New Roman" w:hAnsi="Times New Roman" w:cs="Times New Roman"/>
          <w:color w:val="303030"/>
          <w:w w:val="105"/>
          <w:sz w:val="18"/>
          <w:szCs w:val="18"/>
        </w:rPr>
        <w:lastRenderedPageBreak/>
        <w:t>vzdělávání a rozvoj finanční gramotnosti u dětí a mladých lidí</w:t>
      </w:r>
      <w:r w:rsidRPr="1582C5CC">
        <w:rPr>
          <w:rFonts w:ascii="Times New Roman" w:hAnsi="Times New Roman" w:cs="Times New Roman"/>
          <w:color w:val="303030"/>
          <w:sz w:val="18"/>
          <w:szCs w:val="18"/>
        </w:rPr>
        <w:t>.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 Nadace do podpory vzdělávacích projektů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investuje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každý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 xml:space="preserve">rok </w:t>
      </w:r>
      <w:r w:rsidRPr="000D6BEA">
        <w:rPr>
          <w:rFonts w:ascii="Times New Roman" w:hAnsi="Times New Roman" w:cs="Times New Roman"/>
          <w:color w:val="303030"/>
          <w:w w:val="110"/>
          <w:sz w:val="18"/>
          <w:szCs w:val="18"/>
        </w:rPr>
        <w:t>desítky milionů korun.</w:t>
      </w:r>
    </w:p>
    <w:p w14:paraId="16B69A6A" w14:textId="77777777" w:rsidR="001D2274" w:rsidRDefault="001D2274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sectPr w:rsidR="001D2274" w:rsidSect="00436CE9">
      <w:type w:val="continuous"/>
      <w:pgSz w:w="11910" w:h="16840"/>
      <w:pgMar w:top="1418" w:right="1021" w:bottom="278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0DB8" w14:textId="77777777" w:rsidR="00FB177F" w:rsidRDefault="00FB177F" w:rsidP="00A7030B">
      <w:r>
        <w:separator/>
      </w:r>
    </w:p>
  </w:endnote>
  <w:endnote w:type="continuationSeparator" w:id="0">
    <w:p w14:paraId="4A832328" w14:textId="77777777" w:rsidR="00FB177F" w:rsidRDefault="00FB177F" w:rsidP="00A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97E7" w14:textId="77777777" w:rsidR="00FB177F" w:rsidRDefault="00FB177F" w:rsidP="00A7030B">
      <w:r>
        <w:separator/>
      </w:r>
    </w:p>
  </w:footnote>
  <w:footnote w:type="continuationSeparator" w:id="0">
    <w:p w14:paraId="5D2F52D2" w14:textId="77777777" w:rsidR="00FB177F" w:rsidRDefault="00FB177F" w:rsidP="00A7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B95"/>
    <w:multiLevelType w:val="hybridMultilevel"/>
    <w:tmpl w:val="13283240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68A"/>
    <w:multiLevelType w:val="hybridMultilevel"/>
    <w:tmpl w:val="DE7CCDC8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Inter" w:hAnsi="Inter" w:hint="default"/>
        <w:color w:val="303030"/>
        <w:w w:val="105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09EF"/>
    <w:multiLevelType w:val="hybridMultilevel"/>
    <w:tmpl w:val="984AC91A"/>
    <w:lvl w:ilvl="0" w:tplc="79529E22">
      <w:numFmt w:val="bullet"/>
      <w:lvlText w:val="•"/>
      <w:lvlJc w:val="left"/>
      <w:pPr>
        <w:ind w:left="827" w:hanging="720"/>
      </w:pPr>
      <w:rPr>
        <w:rFonts w:ascii="Arial" w:eastAsia="Arial" w:hAnsi="Arial" w:cs="Arial" w:hint="default"/>
        <w:b w:val="0"/>
        <w:bCs w:val="0"/>
        <w:i w:val="0"/>
        <w:iCs w:val="0"/>
        <w:color w:val="303030"/>
        <w:w w:val="160"/>
        <w:sz w:val="20"/>
        <w:szCs w:val="20"/>
        <w:lang w:val="cs-CZ" w:eastAsia="en-US" w:bidi="ar-SA"/>
      </w:rPr>
    </w:lvl>
    <w:lvl w:ilvl="1" w:tplc="10889864">
      <w:numFmt w:val="bullet"/>
      <w:lvlText w:val="•"/>
      <w:lvlJc w:val="left"/>
      <w:pPr>
        <w:ind w:left="1700" w:hanging="720"/>
      </w:pPr>
      <w:rPr>
        <w:rFonts w:hint="default"/>
        <w:lang w:val="cs-CZ" w:eastAsia="en-US" w:bidi="ar-SA"/>
      </w:rPr>
    </w:lvl>
    <w:lvl w:ilvl="2" w:tplc="9EC6A882">
      <w:numFmt w:val="bullet"/>
      <w:lvlText w:val="•"/>
      <w:lvlJc w:val="left"/>
      <w:pPr>
        <w:ind w:left="2581" w:hanging="720"/>
      </w:pPr>
      <w:rPr>
        <w:rFonts w:hint="default"/>
        <w:lang w:val="cs-CZ" w:eastAsia="en-US" w:bidi="ar-SA"/>
      </w:rPr>
    </w:lvl>
    <w:lvl w:ilvl="3" w:tplc="F4B2DA16">
      <w:numFmt w:val="bullet"/>
      <w:lvlText w:val="•"/>
      <w:lvlJc w:val="left"/>
      <w:pPr>
        <w:ind w:left="3461" w:hanging="720"/>
      </w:pPr>
      <w:rPr>
        <w:rFonts w:hint="default"/>
        <w:lang w:val="cs-CZ" w:eastAsia="en-US" w:bidi="ar-SA"/>
      </w:rPr>
    </w:lvl>
    <w:lvl w:ilvl="4" w:tplc="0C52166E">
      <w:numFmt w:val="bullet"/>
      <w:lvlText w:val="•"/>
      <w:lvlJc w:val="left"/>
      <w:pPr>
        <w:ind w:left="4342" w:hanging="720"/>
      </w:pPr>
      <w:rPr>
        <w:rFonts w:hint="default"/>
        <w:lang w:val="cs-CZ" w:eastAsia="en-US" w:bidi="ar-SA"/>
      </w:rPr>
    </w:lvl>
    <w:lvl w:ilvl="5" w:tplc="E07A35F0">
      <w:numFmt w:val="bullet"/>
      <w:lvlText w:val="•"/>
      <w:lvlJc w:val="left"/>
      <w:pPr>
        <w:ind w:left="5222" w:hanging="720"/>
      </w:pPr>
      <w:rPr>
        <w:rFonts w:hint="default"/>
        <w:lang w:val="cs-CZ" w:eastAsia="en-US" w:bidi="ar-SA"/>
      </w:rPr>
    </w:lvl>
    <w:lvl w:ilvl="6" w:tplc="A9D4A704">
      <w:numFmt w:val="bullet"/>
      <w:lvlText w:val="•"/>
      <w:lvlJc w:val="left"/>
      <w:pPr>
        <w:ind w:left="6103" w:hanging="720"/>
      </w:pPr>
      <w:rPr>
        <w:rFonts w:hint="default"/>
        <w:lang w:val="cs-CZ" w:eastAsia="en-US" w:bidi="ar-SA"/>
      </w:rPr>
    </w:lvl>
    <w:lvl w:ilvl="7" w:tplc="C4044ABA">
      <w:numFmt w:val="bullet"/>
      <w:lvlText w:val="•"/>
      <w:lvlJc w:val="left"/>
      <w:pPr>
        <w:ind w:left="6983" w:hanging="720"/>
      </w:pPr>
      <w:rPr>
        <w:rFonts w:hint="default"/>
        <w:lang w:val="cs-CZ" w:eastAsia="en-US" w:bidi="ar-SA"/>
      </w:rPr>
    </w:lvl>
    <w:lvl w:ilvl="8" w:tplc="42AEA1E8">
      <w:numFmt w:val="bullet"/>
      <w:lvlText w:val="•"/>
      <w:lvlJc w:val="left"/>
      <w:pPr>
        <w:ind w:left="7864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1C2E565F"/>
    <w:multiLevelType w:val="hybridMultilevel"/>
    <w:tmpl w:val="A354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D06"/>
    <w:multiLevelType w:val="hybridMultilevel"/>
    <w:tmpl w:val="40A8BD24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72F1"/>
    <w:multiLevelType w:val="hybridMultilevel"/>
    <w:tmpl w:val="9B6AD52A"/>
    <w:lvl w:ilvl="0" w:tplc="C706C91C">
      <w:numFmt w:val="bullet"/>
      <w:lvlText w:val="•"/>
      <w:lvlJc w:val="left"/>
      <w:pPr>
        <w:ind w:left="144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56DCA"/>
    <w:multiLevelType w:val="hybridMultilevel"/>
    <w:tmpl w:val="75CC838E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F3433"/>
    <w:multiLevelType w:val="hybridMultilevel"/>
    <w:tmpl w:val="B5F04992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6C89"/>
    <w:multiLevelType w:val="hybridMultilevel"/>
    <w:tmpl w:val="2BA81478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7503">
    <w:abstractNumId w:val="2"/>
  </w:num>
  <w:num w:numId="2" w16cid:durableId="58023178">
    <w:abstractNumId w:val="1"/>
  </w:num>
  <w:num w:numId="3" w16cid:durableId="1451776929">
    <w:abstractNumId w:val="3"/>
  </w:num>
  <w:num w:numId="4" w16cid:durableId="1137719151">
    <w:abstractNumId w:val="7"/>
  </w:num>
  <w:num w:numId="5" w16cid:durableId="281766546">
    <w:abstractNumId w:val="6"/>
  </w:num>
  <w:num w:numId="6" w16cid:durableId="749543135">
    <w:abstractNumId w:val="0"/>
  </w:num>
  <w:num w:numId="7" w16cid:durableId="1379083807">
    <w:abstractNumId w:val="5"/>
  </w:num>
  <w:num w:numId="8" w16cid:durableId="64306466">
    <w:abstractNumId w:val="8"/>
  </w:num>
  <w:num w:numId="9" w16cid:durableId="78226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5"/>
    <w:rsid w:val="0000111A"/>
    <w:rsid w:val="00023181"/>
    <w:rsid w:val="0009199F"/>
    <w:rsid w:val="000B108A"/>
    <w:rsid w:val="000D6BEA"/>
    <w:rsid w:val="00112481"/>
    <w:rsid w:val="00154677"/>
    <w:rsid w:val="0017284F"/>
    <w:rsid w:val="001A7FC5"/>
    <w:rsid w:val="001D2274"/>
    <w:rsid w:val="001E00F2"/>
    <w:rsid w:val="00211D37"/>
    <w:rsid w:val="002132BE"/>
    <w:rsid w:val="002349C4"/>
    <w:rsid w:val="00246598"/>
    <w:rsid w:val="002D12F1"/>
    <w:rsid w:val="002D7070"/>
    <w:rsid w:val="002E65D6"/>
    <w:rsid w:val="002F2D05"/>
    <w:rsid w:val="002F2DA7"/>
    <w:rsid w:val="003153BF"/>
    <w:rsid w:val="00381F56"/>
    <w:rsid w:val="003B2ADE"/>
    <w:rsid w:val="003E221D"/>
    <w:rsid w:val="003F7E08"/>
    <w:rsid w:val="0042495D"/>
    <w:rsid w:val="00436CE9"/>
    <w:rsid w:val="00441288"/>
    <w:rsid w:val="0044736B"/>
    <w:rsid w:val="00473735"/>
    <w:rsid w:val="00482F15"/>
    <w:rsid w:val="00490999"/>
    <w:rsid w:val="004B6C9A"/>
    <w:rsid w:val="004E4594"/>
    <w:rsid w:val="00513406"/>
    <w:rsid w:val="0055536E"/>
    <w:rsid w:val="00586662"/>
    <w:rsid w:val="005A3334"/>
    <w:rsid w:val="005B27EA"/>
    <w:rsid w:val="005B706D"/>
    <w:rsid w:val="0063667B"/>
    <w:rsid w:val="0065036E"/>
    <w:rsid w:val="00667633"/>
    <w:rsid w:val="006A3018"/>
    <w:rsid w:val="006B0E1D"/>
    <w:rsid w:val="006D5B0E"/>
    <w:rsid w:val="007B4003"/>
    <w:rsid w:val="007C16D5"/>
    <w:rsid w:val="007F243D"/>
    <w:rsid w:val="008308E8"/>
    <w:rsid w:val="008446CB"/>
    <w:rsid w:val="00874AD8"/>
    <w:rsid w:val="008A6FBF"/>
    <w:rsid w:val="008B38D8"/>
    <w:rsid w:val="00927CB2"/>
    <w:rsid w:val="00951EBC"/>
    <w:rsid w:val="009648C5"/>
    <w:rsid w:val="00A012B2"/>
    <w:rsid w:val="00A27DE8"/>
    <w:rsid w:val="00A7030B"/>
    <w:rsid w:val="00A93A40"/>
    <w:rsid w:val="00AF30AE"/>
    <w:rsid w:val="00B63708"/>
    <w:rsid w:val="00BA709E"/>
    <w:rsid w:val="00C53183"/>
    <w:rsid w:val="00C741EA"/>
    <w:rsid w:val="00C87F0D"/>
    <w:rsid w:val="00CA201F"/>
    <w:rsid w:val="00CA3315"/>
    <w:rsid w:val="00CD3D1E"/>
    <w:rsid w:val="00D300FA"/>
    <w:rsid w:val="00D376A2"/>
    <w:rsid w:val="00D46DB0"/>
    <w:rsid w:val="00D631DC"/>
    <w:rsid w:val="00D660C3"/>
    <w:rsid w:val="00D915CB"/>
    <w:rsid w:val="00DB2A9D"/>
    <w:rsid w:val="00DF794D"/>
    <w:rsid w:val="00E06D9B"/>
    <w:rsid w:val="00E4595A"/>
    <w:rsid w:val="00EA419B"/>
    <w:rsid w:val="00EB5E02"/>
    <w:rsid w:val="00EF50DD"/>
    <w:rsid w:val="00F03F58"/>
    <w:rsid w:val="00F140B2"/>
    <w:rsid w:val="00F46986"/>
    <w:rsid w:val="00F56A1F"/>
    <w:rsid w:val="00F65B0B"/>
    <w:rsid w:val="00FB177F"/>
    <w:rsid w:val="00FB5767"/>
    <w:rsid w:val="015869EF"/>
    <w:rsid w:val="068F61FF"/>
    <w:rsid w:val="106A5DBA"/>
    <w:rsid w:val="13A1FE7C"/>
    <w:rsid w:val="1582C5CC"/>
    <w:rsid w:val="1B23F416"/>
    <w:rsid w:val="1D41EB7D"/>
    <w:rsid w:val="253225FB"/>
    <w:rsid w:val="2587471B"/>
    <w:rsid w:val="2B01FE60"/>
    <w:rsid w:val="37BD9365"/>
    <w:rsid w:val="3996B8BC"/>
    <w:rsid w:val="3E0A6EA0"/>
    <w:rsid w:val="5C1D7807"/>
    <w:rsid w:val="5DB3AE72"/>
    <w:rsid w:val="60E13AA0"/>
    <w:rsid w:val="6B8C25DB"/>
    <w:rsid w:val="6D3E4212"/>
    <w:rsid w:val="759BFD0B"/>
    <w:rsid w:val="783B9DED"/>
    <w:rsid w:val="7B435630"/>
    <w:rsid w:val="7E2D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5550"/>
  <w15:docId w15:val="{602D1ADE-7D7B-0A41-927D-E53F2A3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7"/>
      <w:outlineLvl w:val="0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5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71"/>
      <w:ind w:left="107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7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30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30B"/>
    <w:rPr>
      <w:rFonts w:ascii="Arial" w:eastAsia="Arial" w:hAnsi="Arial" w:cs="Arial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5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5553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nejsibudoucnost.cz/" TargetMode="External"/><Relationship Id="rId13" Type="http://schemas.openxmlformats.org/officeDocument/2006/relationships/hyperlink" Target="mailto:y@cs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hruby@cs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lnejsiregion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lnejsiregion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lnejsibudoucnost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1147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Kropík Lukáš</cp:lastModifiedBy>
  <cp:revision>34</cp:revision>
  <dcterms:created xsi:type="dcterms:W3CDTF">2023-01-06T14:17:00Z</dcterms:created>
  <dcterms:modified xsi:type="dcterms:W3CDTF">2025-04-24T11:03:00Z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17.0</vt:lpwstr>
  </property>
  <property fmtid="{D5CDD505-2E9C-101B-9397-08002B2CF9AE}" pid="6" name="MSIP_Label_38939b85-7e40-4a1d-91e1-0e84c3b219d7_Enabled">
    <vt:lpwstr>true</vt:lpwstr>
  </property>
  <property fmtid="{D5CDD505-2E9C-101B-9397-08002B2CF9AE}" pid="7" name="MSIP_Label_38939b85-7e40-4a1d-91e1-0e84c3b219d7_SetDate">
    <vt:lpwstr>2023-01-06T14:17:48Z</vt:lpwstr>
  </property>
  <property fmtid="{D5CDD505-2E9C-101B-9397-08002B2CF9AE}" pid="8" name="MSIP_Label_38939b85-7e40-4a1d-91e1-0e84c3b219d7_Method">
    <vt:lpwstr>Standard</vt:lpwstr>
  </property>
  <property fmtid="{D5CDD505-2E9C-101B-9397-08002B2CF9AE}" pid="9" name="MSIP_Label_38939b85-7e40-4a1d-91e1-0e84c3b219d7_Name">
    <vt:lpwstr>38939b85-7e40-4a1d-91e1-0e84c3b219d7</vt:lpwstr>
  </property>
  <property fmtid="{D5CDD505-2E9C-101B-9397-08002B2CF9AE}" pid="10" name="MSIP_Label_38939b85-7e40-4a1d-91e1-0e84c3b219d7_SiteId">
    <vt:lpwstr>3ad0376a-54d3-49a6-9e20-52de0a92fc89</vt:lpwstr>
  </property>
  <property fmtid="{D5CDD505-2E9C-101B-9397-08002B2CF9AE}" pid="11" name="MSIP_Label_38939b85-7e40-4a1d-91e1-0e84c3b219d7_ActionId">
    <vt:lpwstr>0a79f41c-6006-4177-9949-133fbbea4beb</vt:lpwstr>
  </property>
  <property fmtid="{D5CDD505-2E9C-101B-9397-08002B2CF9AE}" pid="12" name="MSIP_Label_38939b85-7e40-4a1d-91e1-0e84c3b219d7_ContentBits">
    <vt:lpwstr>0</vt:lpwstr>
  </property>
</Properties>
</file>