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B476" w14:textId="07D27BF9" w:rsidR="002F2D05" w:rsidRPr="00DB2A9D" w:rsidRDefault="002E65D6" w:rsidP="00473735">
      <w:pPr>
        <w:pStyle w:val="Zkladntext"/>
        <w:spacing w:before="226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CBC7C" wp14:editId="12F3B83A">
            <wp:simplePos x="0" y="0"/>
            <wp:positionH relativeFrom="column">
              <wp:posOffset>-105410</wp:posOffset>
            </wp:positionH>
            <wp:positionV relativeFrom="paragraph">
              <wp:posOffset>-147955</wp:posOffset>
            </wp:positionV>
            <wp:extent cx="2714625" cy="799465"/>
            <wp:effectExtent l="0" t="0" r="9525" b="635"/>
            <wp:wrapNone/>
            <wp:docPr id="214301868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8682" name="Obrázek 1" descr="Obsah obrázku text, Písmo, logo, Grafika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6" r="7167"/>
                    <a:stretch/>
                  </pic:blipFill>
                  <pic:spPr bwMode="auto">
                    <a:xfrm>
                      <a:off x="0" y="0"/>
                      <a:ext cx="2714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D8" w:rsidRPr="00DB2A9D">
        <w:rPr>
          <w:rFonts w:ascii="Times New Roman" w:hAnsi="Times New Roman" w:cs="Times New Roman"/>
          <w:w w:val="105"/>
        </w:rPr>
        <w:t>Praha,</w:t>
      </w:r>
      <w:r w:rsidR="008B38D8" w:rsidRPr="00DB2A9D">
        <w:rPr>
          <w:rFonts w:ascii="Times New Roman" w:hAnsi="Times New Roman" w:cs="Times New Roman"/>
          <w:spacing w:val="-11"/>
          <w:w w:val="105"/>
        </w:rPr>
        <w:t xml:space="preserve"> </w:t>
      </w:r>
      <w:r w:rsidR="0051713B">
        <w:rPr>
          <w:rFonts w:ascii="Times New Roman" w:hAnsi="Times New Roman" w:cs="Times New Roman"/>
          <w:spacing w:val="-11"/>
          <w:w w:val="105"/>
        </w:rPr>
        <w:t>22</w:t>
      </w:r>
      <w:r w:rsidR="00E4595A">
        <w:rPr>
          <w:rFonts w:ascii="Times New Roman" w:hAnsi="Times New Roman" w:cs="Times New Roman"/>
          <w:spacing w:val="-11"/>
          <w:w w:val="105"/>
        </w:rPr>
        <w:t xml:space="preserve">. </w:t>
      </w:r>
      <w:r w:rsidR="006922C7">
        <w:rPr>
          <w:rFonts w:ascii="Times New Roman" w:hAnsi="Times New Roman" w:cs="Times New Roman"/>
          <w:w w:val="105"/>
        </w:rPr>
        <w:t xml:space="preserve">května </w:t>
      </w:r>
      <w:r w:rsidR="008B38D8" w:rsidRPr="00DB2A9D">
        <w:rPr>
          <w:rFonts w:ascii="Times New Roman" w:hAnsi="Times New Roman" w:cs="Times New Roman"/>
          <w:spacing w:val="-4"/>
          <w:w w:val="105"/>
        </w:rPr>
        <w:t>202</w:t>
      </w:r>
      <w:r w:rsidR="00246598">
        <w:rPr>
          <w:rFonts w:ascii="Times New Roman" w:hAnsi="Times New Roman" w:cs="Times New Roman"/>
          <w:spacing w:val="-4"/>
          <w:w w:val="105"/>
        </w:rPr>
        <w:t>5</w:t>
      </w:r>
    </w:p>
    <w:p w14:paraId="7EB7D134" w14:textId="05C56A7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6CE1BCE3" w14:textId="488486A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2B183A31" w14:textId="71EB11CE" w:rsidR="002F2D05" w:rsidRPr="00DB2A9D" w:rsidRDefault="002F2D05" w:rsidP="00473735">
      <w:pPr>
        <w:pStyle w:val="Zkladntext"/>
        <w:spacing w:before="9"/>
        <w:rPr>
          <w:rFonts w:ascii="Times New Roman" w:hAnsi="Times New Roman" w:cs="Times New Roman"/>
          <w:sz w:val="18"/>
          <w:szCs w:val="18"/>
        </w:rPr>
      </w:pPr>
    </w:p>
    <w:p w14:paraId="5D720AE0" w14:textId="6D7CADF5" w:rsidR="002F2D05" w:rsidRDefault="002F2D05" w:rsidP="00473735">
      <w:pPr>
        <w:pStyle w:val="Zkladntext"/>
        <w:rPr>
          <w:rFonts w:ascii="Times New Roman" w:hAnsi="Times New Roman" w:cs="Times New Roman"/>
          <w:i/>
        </w:rPr>
      </w:pPr>
    </w:p>
    <w:p w14:paraId="727757A3" w14:textId="6BD55BC2" w:rsidR="00D915CB" w:rsidRPr="006B0E1D" w:rsidRDefault="00D915CB" w:rsidP="00473735">
      <w:pPr>
        <w:pStyle w:val="Zkladntex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B0E1D">
        <w:rPr>
          <w:rFonts w:ascii="Times New Roman" w:hAnsi="Times New Roman" w:cs="Times New Roman"/>
          <w:b/>
          <w:bCs/>
          <w:iCs/>
          <w:sz w:val="40"/>
          <w:szCs w:val="40"/>
        </w:rPr>
        <w:t>Tisková zpráva</w:t>
      </w:r>
    </w:p>
    <w:p w14:paraId="732E0774" w14:textId="47E0E626" w:rsidR="00D915CB" w:rsidRPr="006B0E1D" w:rsidRDefault="00D915CB" w:rsidP="00473735">
      <w:pPr>
        <w:pStyle w:val="Zkladntext"/>
        <w:rPr>
          <w:rFonts w:ascii="Times New Roman" w:hAnsi="Times New Roman" w:cs="Times New Roman"/>
          <w:i/>
        </w:rPr>
      </w:pPr>
    </w:p>
    <w:p w14:paraId="4D2A8F8C" w14:textId="77777777" w:rsidR="00AC4F39" w:rsidRDefault="00AC4F39" w:rsidP="00C87847">
      <w:pPr>
        <w:rPr>
          <w:rFonts w:ascii="Times New Roman" w:hAnsi="Times New Roman" w:cs="Times New Roman"/>
          <w:b/>
          <w:bCs/>
          <w:iCs/>
          <w:color w:val="303030"/>
          <w:w w:val="105"/>
          <w:sz w:val="28"/>
          <w:szCs w:val="28"/>
        </w:rPr>
      </w:pPr>
    </w:p>
    <w:p w14:paraId="0EC936EC" w14:textId="77777777" w:rsidR="00AC4F39" w:rsidRPr="00AC4F39" w:rsidRDefault="00AC4F39" w:rsidP="00AC4F39">
      <w:pPr>
        <w:rPr>
          <w:rFonts w:ascii="Times New Roman" w:hAnsi="Times New Roman" w:cs="Times New Roman"/>
          <w:b/>
          <w:bCs/>
          <w:iCs/>
          <w:color w:val="303030"/>
          <w:w w:val="105"/>
          <w:sz w:val="28"/>
          <w:szCs w:val="28"/>
        </w:rPr>
      </w:pP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8"/>
          <w:szCs w:val="28"/>
        </w:rPr>
        <w:t>Jihlavsko i Kraj Vysočina mají velmi dobrou úroveň vzdělávání. Ukázala to data z Indexu prosperity regionů</w:t>
      </w:r>
    </w:p>
    <w:p w14:paraId="55420DC8" w14:textId="77777777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584CC709" w14:textId="77777777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 xml:space="preserve">Index prosperity regionů porovnává 206 českých mikroregionů (205 obcí s rozšířenou působností plus Praha) a hodnotí v nich 37 ukazatelů kvality života, například demografické hodnoty, občanskou vybavenost, dostupnost vzdělání nebo ekonomiku. Jihlavsko si podle něj v rámci České republiky stojí velmi dobře: umístilo se na 29. místě z 206. Vyniká především v demografických </w:t>
      </w:r>
      <w:proofErr w:type="gramStart"/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ukazatelích - migračním</w:t>
      </w:r>
      <w:proofErr w:type="gramEnd"/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 xml:space="preserve"> saldu (18 na 1 000 obyvatel, 11. nejlepší výsledek v Česku), vysoké naději dožití (79 let, 28. nejlepší výsledek z 206) nebo v počtu vysokoškoláků (11 % a 64. místo). Je zde i dobře dostupná zdravotní péče, na 100 000 obyvatel tu připadá 67 praktických lékařů (24. místo) a 49 stomatologů (57. místo). Mikroregion si stojí dobře i v oblasti vzdělávání: ve vzdělávací úspěšnosti (35. místo) nebo počtu zameškaných hodin žáka na základní škole (44. místo, 76 hodin).</w:t>
      </w:r>
    </w:p>
    <w:p w14:paraId="69FBC16B" w14:textId="77777777" w:rsid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147C932B" w14:textId="70578E52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Celý Kraj Vysočina má podle Indexu prosperity regionů nejlepší úroveň vzdělávání v porovnání s ostatními kraji. Žije zde druhý nejnižší podíl obyvatel bez vzdělání, je tu největší počet tříd ve školkách mezi kraji a druhý největší počet základních škol. V ukazateli vzdělávací úspěšnosti obsadil Kraj Vysočina 3. místo ze 14. Dobře si vede i z pohledu </w:t>
      </w:r>
      <w:proofErr w:type="gramStart"/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ekonomiky - je</w:t>
      </w:r>
      <w:proofErr w:type="gramEnd"/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zde nejmenší podíl lidí v exekuci, čtvrté nejvyšší příjmy obcí a pátá nejnižší nezaměstnanost (2,76 %) mezi kraji. V celkovém porovnání mezi jednotlivými kraji ČR se Kraj Vysočina umístil na 3. místě a Nové Město na Moravě z Indexu prosperity regionů vyšlo jako 3. nejlepší místo pro život v ČR.</w:t>
      </w:r>
    </w:p>
    <w:p w14:paraId="614D5F8D" w14:textId="77777777" w:rsidR="00AC4F39" w:rsidRDefault="00AC4F39" w:rsidP="00AC4F39">
      <w:pPr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</w:pPr>
    </w:p>
    <w:p w14:paraId="0A268582" w14:textId="3D8CE581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Méně silnic a zastávek</w:t>
      </w: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Kraj Vysočina si vede dobře ve všech ukazatelích kromě občanské vybavenosti, kde skončila na 12. místě: například kvůli třetímu nejnižšímu počtu obchodů s potravinami, druhému nejnižšímu počtu zastávek veřejné dopravy nebo čtvrté nejnižší hustotě silnic. Největší slabinou mikroregionu Jihlava je rovněž podíl silnic (199. místo z 206) a množství financí na žáka základní školy (171. místo). Jakkoliv ovšem index v některých pilířích vykazuje horší hodnoty, neznamená to, že by se lidem v mikroregionu žilo špatně.</w:t>
      </w:r>
    </w:p>
    <w:p w14:paraId="7C64AEA5" w14:textId="77777777" w:rsidR="00AC4F39" w:rsidRDefault="00AC4F39" w:rsidP="00AC4F39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02DC7823" w14:textId="77225D5D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„Jihlava nyní staví hned několik strategických investic, které mají velmi dobrý potenciál posunout Jihlavu na vyšší úroveň a zřetelně zlepšit kvalitu života místních obyvatel. Například Centrální dopravní terminál usnadní každodenní mobilitu, zlepší dostupnost města a posílí jeho krajskou roli významného dopravního uzlu </w:t>
      </w:r>
      <w:proofErr w:type="gramStart"/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Vysočiny</w:t>
      </w:r>
      <w:proofErr w:type="gramEnd"/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 xml:space="preserve"> a to i v kontextu budoucí vysokorychlostní železnice. To může přilákat nové obyvatele i firmy. Horácká multifunkční aréna zase přinese moderní sportovní a kulturní zázemí, které Jihlava dlouhodobě postrádala. Může oživit centrum města, posílit cestovní ruch i městskou identitu. Vodojem Bukovno zvyšuje bezpečnost a kapacitu vodárenské infrastruktury, což je zásadní pro dlouhodobou udržitelnost a schopnost města rozrůstat se,” 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říká primátor Jihlavy Petr Ryška a dodává: “</w:t>
      </w:r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Navíc se domnívám, že všechny tyto projekty vytvářejí pracovní příležitosti a zvyšují atraktivitu Jihlavy pro investory, studenty i mladé rodiny. Věřím tedy, že jde celkově o velmi důležitou modernizaci města, která může přinést dlouhodobé pozitivní dopady v oblasti ekonomiky, životního prostředí i společenského života.“</w:t>
      </w:r>
    </w:p>
    <w:p w14:paraId="72DF2F31" w14:textId="77777777" w:rsidR="00AC4F39" w:rsidRDefault="00AC4F39" w:rsidP="00AC4F39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5EF99B1F" w14:textId="7BD69A02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„Cílem Indexu prosperity regionů je mapovat kvalitu života v jednotlivých krajích a obcích s rozšířenou působností a ukazovat pozitivní příklady z praxe, které vedou k posilování regionů. Kromě tvrdých dat ale sledujeme i aktivity, které nejsou měřitelné čísly, a přesto mají na rozvoj regionů neméně důležitý dopad,“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vysvětluje Andrea Studihradová z České spořitelny, která společně s Evropou v datech za indexem stojí. V posledních letech vzniklo jen v programu Dokážeme víc v Kraji Vysočina minimálně 15 projektů, které zlepšily život v konkrétní obci.</w:t>
      </w:r>
    </w:p>
    <w:p w14:paraId="28C0EE40" w14:textId="77777777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„Konkrétně v Loučkách u Vílance se místním podařilo společně opravit staré vinné sklepy, ve kterých skladují ovoce a další potraviny. Zároveň tu založili veřejně přístupný ovocný sad, kde vysadili ovocné stromy, vybudovali semínkovnu, lavičku, kompost, hmyzí hotel nebo nádrž na dešťovou vodu. A ve Veselém Žďáru je díky čtyřem sousedkám ještě veseleji: založily tu komunitní moštárnu a pořádají sousedské slavnosti, kde se scházejí starousedlíci s novousedlíky. Také zaznamenávají příběh každodenních dějin obce. Jde o projekty podpořené programem Dokážeme víc, který podporuje lidi, jež chtějí zvelebit své okolí. Mohou na to získat až 100 000 Kč,“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dodává Andrea Studihradová.</w:t>
      </w:r>
    </w:p>
    <w:p w14:paraId="73F0E6E3" w14:textId="77777777" w:rsidR="00AC4F39" w:rsidRDefault="00AC4F39" w:rsidP="00AC4F39">
      <w:pPr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</w:pPr>
    </w:p>
    <w:p w14:paraId="0C80CCA5" w14:textId="6CB196BE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Všichni do měst jít nemůžou</w:t>
      </w: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Zažádat o grant Dokážeme víc realizovaný Českou spořitelnou ve spolupráci s Nadací Via může kdokoliv a pozitivní je, že se v regionech </w:t>
      </w:r>
      <w:proofErr w:type="gramStart"/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snaží</w:t>
      </w:r>
      <w:proofErr w:type="gramEnd"/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o změnu k lepšímu čím dál více lidí. </w:t>
      </w:r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„Vznikají kulturní a vzdělávací projekty, sociální podniky, komunitní centra i malé lokální podniky. Pokud se v regionech zaměříme na odstranění bariér právě pro malé a střední podniky, změnu vzdělávání a podporu inovací, můžeme zvrátit negativní vývoj posledních desetiletí,“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komentuje stávající trend Jan Školník, podnikatel a filantrop z Broumovska. Podle něj není řešením problémů venkova to, že se všichni odstěhují do měst. </w:t>
      </w:r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„Budou ta města potom k žití? Podle mě má smysl spíše posílit kvalitu života v menších obcích a na venkově a doplnit to kvalitní infrastrukturou.“</w:t>
      </w:r>
    </w:p>
    <w:p w14:paraId="20EF4D2B" w14:textId="77777777" w:rsidR="00AC4F39" w:rsidRDefault="00AC4F39" w:rsidP="00AC4F39">
      <w:pPr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</w:pPr>
    </w:p>
    <w:p w14:paraId="44377CAE" w14:textId="0E13995D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Silnější budoucnost na náměstí</w:t>
      </w: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br/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V týdnu od 26. do 30. května se na jihlavském náměstí představí roadshow Silnější budoucnost, která ukáže, co všechno Češi dokázali na poli technologií, mimo jiné i formou interaktivní výstavy. Na náměstí tak vyrostou dvě obří včelí plástve, jedna coby prostor pro výstavu, druhá pro besedy a setkávání. </w:t>
      </w:r>
    </w:p>
    <w:p w14:paraId="45EB97F9" w14:textId="77777777" w:rsid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1FB6F588" w14:textId="7D9F8B57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V úterý 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27. května od 18:00 hodin tu také proběhne debata věnovaná regionům a zapojování místních do proměn veřejných prostor s primátorem Jihlavy </w:t>
      </w: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Petrem Ryškou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a </w:t>
      </w:r>
      <w:r w:rsidRPr="00AC4F39">
        <w:rPr>
          <w:rFonts w:ascii="Times New Roman" w:hAnsi="Times New Roman" w:cs="Times New Roman"/>
          <w:b/>
          <w:bCs/>
          <w:iCs/>
          <w:color w:val="303030"/>
          <w:w w:val="105"/>
          <w:sz w:val="20"/>
          <w:szCs w:val="20"/>
        </w:rPr>
        <w:t>Kamilem Kavkou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, regionálním scoutem Inovačního centra Olomouckého kraje a zakladatelem platforem positivCZ a positivJE.</w:t>
      </w:r>
    </w:p>
    <w:p w14:paraId="2741457D" w14:textId="77777777" w:rsidR="00AC4F39" w:rsidRDefault="00AC4F39" w:rsidP="00AC4F39">
      <w:pPr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</w:pPr>
    </w:p>
    <w:p w14:paraId="48F61F79" w14:textId="70592730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i/>
          <w:iCs/>
          <w:color w:val="303030"/>
          <w:w w:val="105"/>
          <w:sz w:val="20"/>
          <w:szCs w:val="20"/>
        </w:rPr>
        <w:t>„Silnější budoucnost neovlivňují jen technologie, byť je jejich význam obrovský, ale také lidé. Hlavně na lidech záleží, jestli bude konkrétní město nebo vesnice dobré místo k životu. Snažíme se je proto podporovat a motivovat, například grantovým programem Dokážeme víc. Aby se nebáli vystoupit ze své komfortní zóny a pustili se do něčeho, co jim dává smysl a zpříjemní život v daném místě,“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uzavírá Andrea Studihradová.</w:t>
      </w:r>
    </w:p>
    <w:p w14:paraId="2554B8E9" w14:textId="77777777" w:rsid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2E068753" w14:textId="32227E6F" w:rsidR="00AC4F39" w:rsidRPr="00AC4F39" w:rsidRDefault="00AC4F39" w:rsidP="00AC4F39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Roadshow Silnější budoucnost pořádá Česká spořitelna na oslavu svých 200. narozenin.</w:t>
      </w:r>
      <w: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 xml:space="preserve"> </w:t>
      </w:r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Detailní program a další informace najdete na</w:t>
      </w:r>
      <w:hyperlink r:id="rId8" w:history="1">
        <w:r w:rsidRPr="00AC4F39">
          <w:rPr>
            <w:rStyle w:val="Hypertextovodkaz"/>
            <w:rFonts w:ascii="Times New Roman" w:hAnsi="Times New Roman" w:cs="Times New Roman"/>
            <w:iCs/>
            <w:w w:val="105"/>
            <w:sz w:val="20"/>
            <w:szCs w:val="20"/>
          </w:rPr>
          <w:t xml:space="preserve"> www.silnejsibudoucnost.cz</w:t>
        </w:r>
      </w:hyperlink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, data z Indexu prosperity regionů si můžete vyhledat na</w:t>
      </w:r>
      <w:hyperlink r:id="rId9" w:history="1">
        <w:r w:rsidRPr="00AC4F39">
          <w:rPr>
            <w:rStyle w:val="Hypertextovodkaz"/>
            <w:rFonts w:ascii="Times New Roman" w:hAnsi="Times New Roman" w:cs="Times New Roman"/>
            <w:iCs/>
            <w:w w:val="105"/>
            <w:sz w:val="20"/>
            <w:szCs w:val="20"/>
          </w:rPr>
          <w:t xml:space="preserve"> www.silnejsiregiony.cz</w:t>
        </w:r>
      </w:hyperlink>
      <w:r w:rsidRPr="00AC4F39"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  <w:t>.</w:t>
      </w:r>
    </w:p>
    <w:p w14:paraId="3CA647CC" w14:textId="77777777" w:rsidR="00AC4F39" w:rsidRDefault="00AC4F39" w:rsidP="00C87847">
      <w:pPr>
        <w:rPr>
          <w:rFonts w:ascii="Times New Roman" w:hAnsi="Times New Roman" w:cs="Times New Roman"/>
          <w:iCs/>
          <w:color w:val="303030"/>
          <w:w w:val="105"/>
          <w:sz w:val="20"/>
          <w:szCs w:val="20"/>
        </w:rPr>
      </w:pPr>
    </w:p>
    <w:p w14:paraId="1F577E27" w14:textId="77777777" w:rsidR="006B0E1D" w:rsidRDefault="006B0E1D" w:rsidP="00874AD8">
      <w:pPr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</w:pPr>
    </w:p>
    <w:p w14:paraId="32280FB6" w14:textId="77777777" w:rsidR="002112B5" w:rsidRDefault="002112B5" w:rsidP="00874AD8">
      <w:pPr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</w:pPr>
    </w:p>
    <w:p w14:paraId="470602B3" w14:textId="63CC5D66" w:rsidR="00874AD8" w:rsidRPr="00436CE9" w:rsidRDefault="00874AD8" w:rsidP="00874AD8">
      <w:pPr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další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informace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prosím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kontaktujte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centrum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Finanční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skupiny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České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spořitelny:</w:t>
      </w:r>
    </w:p>
    <w:p w14:paraId="4CA266CA" w14:textId="77777777" w:rsidR="00874AD8" w:rsidRPr="00436CE9" w:rsidRDefault="00874AD8" w:rsidP="00874AD8">
      <w:pPr>
        <w:pStyle w:val="Zkladntext"/>
        <w:spacing w:before="3"/>
        <w:rPr>
          <w:rFonts w:ascii="Times New Roman" w:hAnsi="Times New Roman" w:cs="Times New Roman"/>
          <w:i/>
        </w:rPr>
      </w:pPr>
    </w:p>
    <w:p w14:paraId="0D4E4474" w14:textId="77777777" w:rsidR="00874AD8" w:rsidRPr="00436CE9" w:rsidRDefault="00874AD8" w:rsidP="00874AD8">
      <w:pPr>
        <w:rPr>
          <w:rFonts w:ascii="Times New Roman" w:hAnsi="Times New Roman" w:cs="Times New Roman"/>
          <w:b/>
          <w:sz w:val="20"/>
          <w:szCs w:val="20"/>
        </w:rPr>
      </w:pP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Filip</w:t>
      </w:r>
      <w:r w:rsidRPr="00436CE9">
        <w:rPr>
          <w:rFonts w:ascii="Times New Roman" w:hAnsi="Times New Roman" w:cs="Times New Roman"/>
          <w:b/>
          <w:color w:val="303030"/>
          <w:spacing w:val="-9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Hrubý</w:t>
      </w:r>
    </w:p>
    <w:p w14:paraId="0EA4CD4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Tiskový</w:t>
      </w:r>
      <w:r w:rsidRPr="00436CE9">
        <w:rPr>
          <w:rFonts w:ascii="Times New Roman" w:hAnsi="Times New Roman" w:cs="Times New Roman"/>
          <w:i/>
          <w:color w:val="303030"/>
          <w:spacing w:val="-4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mluvčí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ČS</w:t>
      </w:r>
    </w:p>
    <w:p w14:paraId="63645DB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Tel.: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+420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775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011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550</w:t>
      </w:r>
    </w:p>
    <w:p w14:paraId="1C6CC493" w14:textId="1AD6B8B0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E-mail: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hyperlink r:id="rId10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fhrub</w:t>
        </w:r>
      </w:hyperlink>
      <w:hyperlink r:id="rId11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y@csas.cz</w:t>
        </w:r>
      </w:hyperlink>
    </w:p>
    <w:p w14:paraId="3A77E9EA" w14:textId="255595C5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</w:p>
    <w:p w14:paraId="5F5F5F49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</w:p>
    <w:p w14:paraId="4D71BFF8" w14:textId="3217D264" w:rsidR="00DB2A9D" w:rsidRDefault="00DB2A9D">
      <w:pPr>
        <w:rPr>
          <w:rFonts w:ascii="Times New Roman" w:hAnsi="Times New Roman" w:cs="Times New Roman"/>
          <w:color w:val="303030"/>
          <w:spacing w:val="-2"/>
          <w:w w:val="105"/>
          <w:sz w:val="20"/>
          <w:szCs w:val="20"/>
        </w:rPr>
      </w:pPr>
    </w:p>
    <w:p w14:paraId="5D88A3EF" w14:textId="6AAE7789" w:rsidR="005A3334" w:rsidRPr="00DB2A9D" w:rsidRDefault="005A3334" w:rsidP="00473735">
      <w:pPr>
        <w:rPr>
          <w:rFonts w:ascii="Times New Roman" w:hAnsi="Times New Roman" w:cs="Times New Roman"/>
          <w:sz w:val="9"/>
        </w:rPr>
        <w:sectPr w:rsidR="005A3334" w:rsidRPr="00DB2A9D" w:rsidSect="0009199F">
          <w:type w:val="continuous"/>
          <w:pgSz w:w="11910" w:h="16840"/>
          <w:pgMar w:top="1418" w:right="1021" w:bottom="1276" w:left="1021" w:header="709" w:footer="709" w:gutter="0"/>
          <w:cols w:space="708"/>
        </w:sectPr>
      </w:pPr>
    </w:p>
    <w:p w14:paraId="1888FB96" w14:textId="2EFF7FCD" w:rsidR="00D915CB" w:rsidRPr="00874AD8" w:rsidRDefault="00CA3315" w:rsidP="00874AD8">
      <w:pPr>
        <w:rPr>
          <w:rFonts w:ascii="Times New Roman" w:hAnsi="Times New Roman" w:cs="Times New Roman"/>
          <w:b/>
          <w:bCs/>
          <w:color w:val="303030"/>
          <w:sz w:val="20"/>
        </w:rPr>
      </w:pPr>
      <w:r w:rsidRPr="00874AD8">
        <w:rPr>
          <w:rFonts w:ascii="Times New Roman" w:hAnsi="Times New Roman" w:cs="Times New Roman"/>
          <w:b/>
          <w:bCs/>
          <w:color w:val="303030"/>
          <w:sz w:val="18"/>
          <w:szCs w:val="18"/>
        </w:rPr>
        <w:t>Profil České</w:t>
      </w:r>
      <w:r w:rsidRPr="00874AD8">
        <w:rPr>
          <w:rFonts w:ascii="Times New Roman" w:hAnsi="Times New Roman" w:cs="Times New Roman"/>
          <w:b/>
          <w:bCs/>
          <w:color w:val="303030"/>
          <w:spacing w:val="1"/>
          <w:sz w:val="18"/>
          <w:szCs w:val="18"/>
        </w:rPr>
        <w:t xml:space="preserve"> </w:t>
      </w:r>
      <w:r w:rsidRPr="00874AD8">
        <w:rPr>
          <w:rFonts w:ascii="Times New Roman" w:hAnsi="Times New Roman" w:cs="Times New Roman"/>
          <w:b/>
          <w:bCs/>
          <w:color w:val="303030"/>
          <w:spacing w:val="-2"/>
          <w:sz w:val="18"/>
          <w:szCs w:val="18"/>
        </w:rPr>
        <w:t>spořitelny</w:t>
      </w:r>
    </w:p>
    <w:p w14:paraId="5C99E433" w14:textId="77777777" w:rsidR="00D915CB" w:rsidRDefault="00D915CB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p w14:paraId="1EBFBD30" w14:textId="77777777" w:rsidR="001D2274" w:rsidRPr="00D915CB" w:rsidRDefault="001D2274" w:rsidP="001D2274">
      <w:pPr>
        <w:pStyle w:val="Nadpis1"/>
        <w:ind w:lef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nejstarší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. Od roku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1825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 je naší misí podporovat finanční zdraví a prosperitu klientů, komunit a celé společnosti.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republice s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více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než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4,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6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milion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klientů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zároveň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16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nejdostupnější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1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– disponujeme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sítí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poboček 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bankomatů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digitální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bankovnictví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George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nejvyužívanější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aplikací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českém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trhu. Máme relevantní nabídku pro všechny typy zákazníků, ať jde o individuální klientelu, drobné podnikatele, malé a střední firmy </w:t>
      </w:r>
      <w:r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>nebo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 velké korporace a klienty z veřejného sektoru.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Od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roku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2000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součástí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evropské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skupiny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Erste.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postavení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nám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dovoluje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udávat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trend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technologických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digitálních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inovacích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zavádění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nových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služeb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produktů.</w:t>
      </w:r>
    </w:p>
    <w:p w14:paraId="3CC9A657" w14:textId="77777777" w:rsidR="001D2274" w:rsidRPr="00D915CB" w:rsidRDefault="001D2274" w:rsidP="001D2274">
      <w:pPr>
        <w:pStyle w:val="Zkladntext"/>
        <w:spacing w:before="7"/>
        <w:rPr>
          <w:rFonts w:ascii="Times New Roman" w:hAnsi="Times New Roman" w:cs="Times New Roman"/>
          <w:sz w:val="18"/>
          <w:szCs w:val="18"/>
        </w:rPr>
      </w:pPr>
    </w:p>
    <w:p w14:paraId="1EFF3186" w14:textId="77777777" w:rsidR="001D2274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hAnsi="Times New Roman" w:cs="Times New Roman"/>
          <w:sz w:val="18"/>
          <w:szCs w:val="18"/>
        </w:rPr>
        <w:t>J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sme první bankou, která se stará o </w:t>
      </w:r>
      <w:r w:rsidRPr="6B8C25DB">
        <w:rPr>
          <w:rFonts w:ascii="Times New Roman" w:eastAsia="Times New Roman" w:hAnsi="Times New Roman" w:cs="Times New Roman"/>
          <w:b/>
          <w:bCs/>
          <w:sz w:val="18"/>
          <w:szCs w:val="18"/>
        </w:rPr>
        <w:t>finanční zdraví klientů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>. Veřejně jsme se zavázali:</w:t>
      </w:r>
    </w:p>
    <w:p w14:paraId="3F1B93F5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Pomáhat 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finanční rezervu na nenadálé výdaje</w:t>
      </w:r>
    </w:p>
    <w:p w14:paraId="2007F346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Zpřístupn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kvalitní finanční vzdělávání všem dětem v České republice</w:t>
      </w:r>
    </w:p>
    <w:p w14:paraId="6C0C9307" w14:textId="77777777" w:rsidR="001D2274" w:rsidRDefault="001D2274" w:rsidP="001D2274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moci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 dlouhodobou finanční rezervu</w:t>
      </w:r>
    </w:p>
    <w:p w14:paraId="39716223" w14:textId="77777777" w:rsidR="001D2274" w:rsidRDefault="001D2274" w:rsidP="001D2274">
      <w:pPr>
        <w:pStyle w:val="Odstavecseseznamem"/>
        <w:numPr>
          <w:ilvl w:val="1"/>
          <w:numId w:val="2"/>
        </w:num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Financovat transformaci českých firem směrem k jejich větší konkurenceschopnosti na globálních trzích </w:t>
      </w:r>
    </w:p>
    <w:p w14:paraId="4DCEB673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Zaujímáme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vedoucí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tržní</w:t>
      </w:r>
      <w:r w:rsidRPr="6B8C25DB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pozici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oblasti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retailových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firemních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úvěrů,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hypoték</w:t>
      </w:r>
      <w:r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 celkových vkladech. Našich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služeb využívá každá druhá municipalita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v České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republice.</w:t>
      </w:r>
    </w:p>
    <w:p w14:paraId="0E3A3C89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Naše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internetové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a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mobilní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bankovnictví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George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má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takřka 3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miliony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uživatelů a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je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nejvyužívanější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digitální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 xml:space="preserve">službou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 trhu.</w:t>
      </w:r>
    </w:p>
    <w:p w14:paraId="6B3116AE" w14:textId="77777777" w:rsidR="001D2274" w:rsidRPr="000D6BEA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color w:val="303030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Nadace</w:t>
      </w:r>
      <w:r w:rsidRPr="000D6BEA">
        <w:rPr>
          <w:rFonts w:ascii="Times New Roman" w:hAnsi="Times New Roman" w:cs="Times New Roman"/>
          <w:color w:val="303030"/>
          <w:spacing w:val="-1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České</w:t>
      </w:r>
      <w:r w:rsidRPr="000D6BEA">
        <w:rPr>
          <w:rFonts w:ascii="Times New Roman" w:hAnsi="Times New Roman" w:cs="Times New Roman"/>
          <w:color w:val="303030"/>
          <w:spacing w:val="-1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spořitelny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největší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nadací</w:t>
      </w:r>
      <w:r w:rsidRPr="1582C5CC">
        <w:rPr>
          <w:rFonts w:ascii="Times New Roman" w:hAnsi="Times New Roman" w:cs="Times New Roman"/>
          <w:b/>
          <w:bCs/>
          <w:color w:val="303030"/>
          <w:spacing w:val="-9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ČR.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Zaměřuje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především na </w:t>
      </w:r>
      <w:r>
        <w:rPr>
          <w:rFonts w:ascii="Times New Roman" w:hAnsi="Times New Roman" w:cs="Times New Roman"/>
          <w:color w:val="303030"/>
          <w:w w:val="105"/>
          <w:sz w:val="18"/>
          <w:szCs w:val="18"/>
        </w:rPr>
        <w:t>podporu systémových změn ve vzdělávání a rozvoj finanční gramotnosti u dětí a mladých lidí</w:t>
      </w:r>
      <w:r w:rsidRPr="1582C5CC">
        <w:rPr>
          <w:rFonts w:ascii="Times New Roman" w:hAnsi="Times New Roman" w:cs="Times New Roman"/>
          <w:color w:val="303030"/>
          <w:sz w:val="18"/>
          <w:szCs w:val="18"/>
        </w:rPr>
        <w:t>.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 Nadace do podpory vzdělávacích projektů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investuje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každý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 xml:space="preserve">rok </w:t>
      </w:r>
      <w:r w:rsidRPr="000D6BEA">
        <w:rPr>
          <w:rFonts w:ascii="Times New Roman" w:hAnsi="Times New Roman" w:cs="Times New Roman"/>
          <w:color w:val="303030"/>
          <w:w w:val="110"/>
          <w:sz w:val="18"/>
          <w:szCs w:val="18"/>
        </w:rPr>
        <w:t>desítky milionů korun.</w:t>
      </w:r>
    </w:p>
    <w:p w14:paraId="16B69A6A" w14:textId="77777777" w:rsidR="001D2274" w:rsidRDefault="001D2274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sectPr w:rsidR="001D2274" w:rsidSect="00436CE9">
      <w:type w:val="continuous"/>
      <w:pgSz w:w="11910" w:h="16840"/>
      <w:pgMar w:top="1418" w:right="1021" w:bottom="27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7679B" w14:textId="77777777" w:rsidR="001525AA" w:rsidRDefault="001525AA" w:rsidP="00A7030B">
      <w:r>
        <w:separator/>
      </w:r>
    </w:p>
  </w:endnote>
  <w:endnote w:type="continuationSeparator" w:id="0">
    <w:p w14:paraId="7FFE326D" w14:textId="77777777" w:rsidR="001525AA" w:rsidRDefault="001525AA" w:rsidP="00A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1E8E" w14:textId="77777777" w:rsidR="001525AA" w:rsidRDefault="001525AA" w:rsidP="00A7030B">
      <w:r>
        <w:separator/>
      </w:r>
    </w:p>
  </w:footnote>
  <w:footnote w:type="continuationSeparator" w:id="0">
    <w:p w14:paraId="6C2531B1" w14:textId="77777777" w:rsidR="001525AA" w:rsidRDefault="001525AA" w:rsidP="00A7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B95"/>
    <w:multiLevelType w:val="hybridMultilevel"/>
    <w:tmpl w:val="13283240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68A"/>
    <w:multiLevelType w:val="hybridMultilevel"/>
    <w:tmpl w:val="DE7CCDC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Inter" w:hAnsi="Inter" w:hint="default"/>
        <w:color w:val="303030"/>
        <w:w w:val="105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09EF"/>
    <w:multiLevelType w:val="hybridMultilevel"/>
    <w:tmpl w:val="984AC91A"/>
    <w:lvl w:ilvl="0" w:tplc="79529E22">
      <w:numFmt w:val="bullet"/>
      <w:lvlText w:val="•"/>
      <w:lvlJc w:val="left"/>
      <w:pPr>
        <w:ind w:left="827" w:hanging="720"/>
      </w:pPr>
      <w:rPr>
        <w:rFonts w:ascii="Arial" w:eastAsia="Arial" w:hAnsi="Arial" w:cs="Arial" w:hint="default"/>
        <w:b w:val="0"/>
        <w:bCs w:val="0"/>
        <w:i w:val="0"/>
        <w:iCs w:val="0"/>
        <w:color w:val="303030"/>
        <w:w w:val="160"/>
        <w:sz w:val="20"/>
        <w:szCs w:val="20"/>
        <w:lang w:val="cs-CZ" w:eastAsia="en-US" w:bidi="ar-SA"/>
      </w:rPr>
    </w:lvl>
    <w:lvl w:ilvl="1" w:tplc="10889864">
      <w:numFmt w:val="bullet"/>
      <w:lvlText w:val="•"/>
      <w:lvlJc w:val="left"/>
      <w:pPr>
        <w:ind w:left="1700" w:hanging="720"/>
      </w:pPr>
      <w:rPr>
        <w:rFonts w:hint="default"/>
        <w:lang w:val="cs-CZ" w:eastAsia="en-US" w:bidi="ar-SA"/>
      </w:rPr>
    </w:lvl>
    <w:lvl w:ilvl="2" w:tplc="9EC6A882">
      <w:numFmt w:val="bullet"/>
      <w:lvlText w:val="•"/>
      <w:lvlJc w:val="left"/>
      <w:pPr>
        <w:ind w:left="2581" w:hanging="720"/>
      </w:pPr>
      <w:rPr>
        <w:rFonts w:hint="default"/>
        <w:lang w:val="cs-CZ" w:eastAsia="en-US" w:bidi="ar-SA"/>
      </w:rPr>
    </w:lvl>
    <w:lvl w:ilvl="3" w:tplc="F4B2DA16">
      <w:numFmt w:val="bullet"/>
      <w:lvlText w:val="•"/>
      <w:lvlJc w:val="left"/>
      <w:pPr>
        <w:ind w:left="3461" w:hanging="720"/>
      </w:pPr>
      <w:rPr>
        <w:rFonts w:hint="default"/>
        <w:lang w:val="cs-CZ" w:eastAsia="en-US" w:bidi="ar-SA"/>
      </w:rPr>
    </w:lvl>
    <w:lvl w:ilvl="4" w:tplc="0C52166E">
      <w:numFmt w:val="bullet"/>
      <w:lvlText w:val="•"/>
      <w:lvlJc w:val="left"/>
      <w:pPr>
        <w:ind w:left="4342" w:hanging="720"/>
      </w:pPr>
      <w:rPr>
        <w:rFonts w:hint="default"/>
        <w:lang w:val="cs-CZ" w:eastAsia="en-US" w:bidi="ar-SA"/>
      </w:rPr>
    </w:lvl>
    <w:lvl w:ilvl="5" w:tplc="E07A35F0">
      <w:numFmt w:val="bullet"/>
      <w:lvlText w:val="•"/>
      <w:lvlJc w:val="left"/>
      <w:pPr>
        <w:ind w:left="5222" w:hanging="720"/>
      </w:pPr>
      <w:rPr>
        <w:rFonts w:hint="default"/>
        <w:lang w:val="cs-CZ" w:eastAsia="en-US" w:bidi="ar-SA"/>
      </w:rPr>
    </w:lvl>
    <w:lvl w:ilvl="6" w:tplc="A9D4A704">
      <w:numFmt w:val="bullet"/>
      <w:lvlText w:val="•"/>
      <w:lvlJc w:val="left"/>
      <w:pPr>
        <w:ind w:left="6103" w:hanging="720"/>
      </w:pPr>
      <w:rPr>
        <w:rFonts w:hint="default"/>
        <w:lang w:val="cs-CZ" w:eastAsia="en-US" w:bidi="ar-SA"/>
      </w:rPr>
    </w:lvl>
    <w:lvl w:ilvl="7" w:tplc="C4044ABA">
      <w:numFmt w:val="bullet"/>
      <w:lvlText w:val="•"/>
      <w:lvlJc w:val="left"/>
      <w:pPr>
        <w:ind w:left="6983" w:hanging="720"/>
      </w:pPr>
      <w:rPr>
        <w:rFonts w:hint="default"/>
        <w:lang w:val="cs-CZ" w:eastAsia="en-US" w:bidi="ar-SA"/>
      </w:rPr>
    </w:lvl>
    <w:lvl w:ilvl="8" w:tplc="42AEA1E8">
      <w:numFmt w:val="bullet"/>
      <w:lvlText w:val="•"/>
      <w:lvlJc w:val="left"/>
      <w:pPr>
        <w:ind w:left="7864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C2E565F"/>
    <w:multiLevelType w:val="hybridMultilevel"/>
    <w:tmpl w:val="A354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D06"/>
    <w:multiLevelType w:val="hybridMultilevel"/>
    <w:tmpl w:val="40A8BD24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72F1"/>
    <w:multiLevelType w:val="hybridMultilevel"/>
    <w:tmpl w:val="9B6AD52A"/>
    <w:lvl w:ilvl="0" w:tplc="C706C91C">
      <w:numFmt w:val="bullet"/>
      <w:lvlText w:val="•"/>
      <w:lvlJc w:val="left"/>
      <w:pPr>
        <w:ind w:left="144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6DCA"/>
    <w:multiLevelType w:val="hybridMultilevel"/>
    <w:tmpl w:val="75CC838E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433"/>
    <w:multiLevelType w:val="hybridMultilevel"/>
    <w:tmpl w:val="B5F04992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C89"/>
    <w:multiLevelType w:val="hybridMultilevel"/>
    <w:tmpl w:val="2BA81478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7503">
    <w:abstractNumId w:val="2"/>
  </w:num>
  <w:num w:numId="2" w16cid:durableId="58023178">
    <w:abstractNumId w:val="1"/>
  </w:num>
  <w:num w:numId="3" w16cid:durableId="1451776929">
    <w:abstractNumId w:val="3"/>
  </w:num>
  <w:num w:numId="4" w16cid:durableId="1137719151">
    <w:abstractNumId w:val="7"/>
  </w:num>
  <w:num w:numId="5" w16cid:durableId="281766546">
    <w:abstractNumId w:val="6"/>
  </w:num>
  <w:num w:numId="6" w16cid:durableId="749543135">
    <w:abstractNumId w:val="0"/>
  </w:num>
  <w:num w:numId="7" w16cid:durableId="1379083807">
    <w:abstractNumId w:val="5"/>
  </w:num>
  <w:num w:numId="8" w16cid:durableId="64306466">
    <w:abstractNumId w:val="8"/>
  </w:num>
  <w:num w:numId="9" w16cid:durableId="78226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5"/>
    <w:rsid w:val="0000111A"/>
    <w:rsid w:val="00023181"/>
    <w:rsid w:val="00053B8E"/>
    <w:rsid w:val="0009199F"/>
    <w:rsid w:val="000B108A"/>
    <w:rsid w:val="000D6BEA"/>
    <w:rsid w:val="00112481"/>
    <w:rsid w:val="00116255"/>
    <w:rsid w:val="001525AA"/>
    <w:rsid w:val="00154677"/>
    <w:rsid w:val="0017284F"/>
    <w:rsid w:val="001A7FC5"/>
    <w:rsid w:val="001D2274"/>
    <w:rsid w:val="001E00F2"/>
    <w:rsid w:val="002112B5"/>
    <w:rsid w:val="00211D37"/>
    <w:rsid w:val="002132BE"/>
    <w:rsid w:val="002349C4"/>
    <w:rsid w:val="00246598"/>
    <w:rsid w:val="002A1385"/>
    <w:rsid w:val="002D12F1"/>
    <w:rsid w:val="002D7070"/>
    <w:rsid w:val="002E65D6"/>
    <w:rsid w:val="002F2D05"/>
    <w:rsid w:val="002F2DA7"/>
    <w:rsid w:val="003153BF"/>
    <w:rsid w:val="00381F56"/>
    <w:rsid w:val="003B2ADE"/>
    <w:rsid w:val="003E221D"/>
    <w:rsid w:val="003F7E08"/>
    <w:rsid w:val="0042495D"/>
    <w:rsid w:val="00436CE9"/>
    <w:rsid w:val="00441288"/>
    <w:rsid w:val="0044736B"/>
    <w:rsid w:val="00473735"/>
    <w:rsid w:val="00482F15"/>
    <w:rsid w:val="00490999"/>
    <w:rsid w:val="004B6C9A"/>
    <w:rsid w:val="004E4594"/>
    <w:rsid w:val="00513406"/>
    <w:rsid w:val="0051713B"/>
    <w:rsid w:val="0055536E"/>
    <w:rsid w:val="00586662"/>
    <w:rsid w:val="005A3334"/>
    <w:rsid w:val="005B27EA"/>
    <w:rsid w:val="005B706D"/>
    <w:rsid w:val="0063667B"/>
    <w:rsid w:val="0065036E"/>
    <w:rsid w:val="00667633"/>
    <w:rsid w:val="006922C7"/>
    <w:rsid w:val="006A3018"/>
    <w:rsid w:val="006B0E1D"/>
    <w:rsid w:val="006D5B0E"/>
    <w:rsid w:val="007B4003"/>
    <w:rsid w:val="007C16D5"/>
    <w:rsid w:val="007F243D"/>
    <w:rsid w:val="008308E8"/>
    <w:rsid w:val="008446CB"/>
    <w:rsid w:val="00874AD8"/>
    <w:rsid w:val="008A6FBF"/>
    <w:rsid w:val="008B38D8"/>
    <w:rsid w:val="00927CB2"/>
    <w:rsid w:val="00951EBC"/>
    <w:rsid w:val="009607F2"/>
    <w:rsid w:val="009648C5"/>
    <w:rsid w:val="00A012B2"/>
    <w:rsid w:val="00A27DE8"/>
    <w:rsid w:val="00A7030B"/>
    <w:rsid w:val="00A93A40"/>
    <w:rsid w:val="00AC4F39"/>
    <w:rsid w:val="00AF30AE"/>
    <w:rsid w:val="00B62657"/>
    <w:rsid w:val="00B63708"/>
    <w:rsid w:val="00BA382D"/>
    <w:rsid w:val="00BA709E"/>
    <w:rsid w:val="00C038FC"/>
    <w:rsid w:val="00C53183"/>
    <w:rsid w:val="00C741EA"/>
    <w:rsid w:val="00C87847"/>
    <w:rsid w:val="00C87F0D"/>
    <w:rsid w:val="00CA201F"/>
    <w:rsid w:val="00CA3315"/>
    <w:rsid w:val="00CD3D1E"/>
    <w:rsid w:val="00D300FA"/>
    <w:rsid w:val="00D376A2"/>
    <w:rsid w:val="00D46DB0"/>
    <w:rsid w:val="00D631DC"/>
    <w:rsid w:val="00D660C3"/>
    <w:rsid w:val="00D90E4C"/>
    <w:rsid w:val="00D915CB"/>
    <w:rsid w:val="00DB2A9D"/>
    <w:rsid w:val="00DC387C"/>
    <w:rsid w:val="00DF794D"/>
    <w:rsid w:val="00E06D9B"/>
    <w:rsid w:val="00E26A72"/>
    <w:rsid w:val="00E4595A"/>
    <w:rsid w:val="00EA419B"/>
    <w:rsid w:val="00EB5E02"/>
    <w:rsid w:val="00EE7225"/>
    <w:rsid w:val="00EF50DD"/>
    <w:rsid w:val="00F03F58"/>
    <w:rsid w:val="00F140B2"/>
    <w:rsid w:val="00F46986"/>
    <w:rsid w:val="00F56A1F"/>
    <w:rsid w:val="00F65B0B"/>
    <w:rsid w:val="00FB177F"/>
    <w:rsid w:val="00FB5767"/>
    <w:rsid w:val="015869EF"/>
    <w:rsid w:val="068F61FF"/>
    <w:rsid w:val="106A5DBA"/>
    <w:rsid w:val="13A1FE7C"/>
    <w:rsid w:val="1582C5CC"/>
    <w:rsid w:val="1B23F416"/>
    <w:rsid w:val="1D41EB7D"/>
    <w:rsid w:val="253225FB"/>
    <w:rsid w:val="2587471B"/>
    <w:rsid w:val="2B01FE60"/>
    <w:rsid w:val="37BD9365"/>
    <w:rsid w:val="3996B8BC"/>
    <w:rsid w:val="3E0A6EA0"/>
    <w:rsid w:val="5C1D7807"/>
    <w:rsid w:val="5DB3AE72"/>
    <w:rsid w:val="60E13AA0"/>
    <w:rsid w:val="6B8C25DB"/>
    <w:rsid w:val="6D3E4212"/>
    <w:rsid w:val="759BFD0B"/>
    <w:rsid w:val="783B9DED"/>
    <w:rsid w:val="7B435630"/>
    <w:rsid w:val="7E2D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5550"/>
  <w15:docId w15:val="{602D1ADE-7D7B-0A41-927D-E53F2A3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5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1"/>
      <w:ind w:left="107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7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30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0B"/>
    <w:rPr>
      <w:rFonts w:ascii="Arial" w:eastAsia="Arial" w:hAnsi="Arial" w:cs="Arial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5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5553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nejsibudoucnos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@cs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hruby@cs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nejsiregio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1262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Kropík Lukáš</cp:lastModifiedBy>
  <cp:revision>43</cp:revision>
  <dcterms:created xsi:type="dcterms:W3CDTF">2023-01-06T14:17:00Z</dcterms:created>
  <dcterms:modified xsi:type="dcterms:W3CDTF">2025-05-22T12:22:00Z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17.0</vt:lpwstr>
  </property>
  <property fmtid="{D5CDD505-2E9C-101B-9397-08002B2CF9AE}" pid="6" name="MSIP_Label_38939b85-7e40-4a1d-91e1-0e84c3b219d7_Enabled">
    <vt:lpwstr>true</vt:lpwstr>
  </property>
  <property fmtid="{D5CDD505-2E9C-101B-9397-08002B2CF9AE}" pid="7" name="MSIP_Label_38939b85-7e40-4a1d-91e1-0e84c3b219d7_SetDate">
    <vt:lpwstr>2023-01-06T14:17:48Z</vt:lpwstr>
  </property>
  <property fmtid="{D5CDD505-2E9C-101B-9397-08002B2CF9AE}" pid="8" name="MSIP_Label_38939b85-7e40-4a1d-91e1-0e84c3b219d7_Method">
    <vt:lpwstr>Standard</vt:lpwstr>
  </property>
  <property fmtid="{D5CDD505-2E9C-101B-9397-08002B2CF9AE}" pid="9" name="MSIP_Label_38939b85-7e40-4a1d-91e1-0e84c3b219d7_Name">
    <vt:lpwstr>38939b85-7e40-4a1d-91e1-0e84c3b219d7</vt:lpwstr>
  </property>
  <property fmtid="{D5CDD505-2E9C-101B-9397-08002B2CF9AE}" pid="10" name="MSIP_Label_38939b85-7e40-4a1d-91e1-0e84c3b219d7_SiteId">
    <vt:lpwstr>3ad0376a-54d3-49a6-9e20-52de0a92fc89</vt:lpwstr>
  </property>
  <property fmtid="{D5CDD505-2E9C-101B-9397-08002B2CF9AE}" pid="11" name="MSIP_Label_38939b85-7e40-4a1d-91e1-0e84c3b219d7_ActionId">
    <vt:lpwstr>0a79f41c-6006-4177-9949-133fbbea4beb</vt:lpwstr>
  </property>
  <property fmtid="{D5CDD505-2E9C-101B-9397-08002B2CF9AE}" pid="12" name="MSIP_Label_38939b85-7e40-4a1d-91e1-0e84c3b219d7_ContentBits">
    <vt:lpwstr>0</vt:lpwstr>
  </property>
</Properties>
</file>